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vertAnchor="page" w:horzAnchor="margin" w:tblpY="16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6"/>
        <w:gridCol w:w="2126"/>
        <w:gridCol w:w="2552"/>
        <w:gridCol w:w="1275"/>
        <w:gridCol w:w="5103"/>
        <w:gridCol w:w="3824"/>
      </w:tblGrid>
      <w:tr w:rsidR="008017C6" w:rsidTr="008017C6">
        <w:trPr>
          <w:trHeight w:val="705"/>
        </w:trPr>
        <w:tc>
          <w:tcPr>
            <w:tcW w:w="856" w:type="dxa"/>
          </w:tcPr>
          <w:p w:rsidR="008017C6" w:rsidRDefault="008017C6" w:rsidP="008017C6">
            <w:pPr>
              <w:pStyle w:val="TableParagraph"/>
              <w:spacing w:before="92"/>
              <w:ind w:left="287" w:right="92" w:hanging="68"/>
              <w:rPr>
                <w:b/>
                <w:spacing w:val="-4"/>
                <w:sz w:val="24"/>
              </w:rPr>
            </w:pPr>
          </w:p>
        </w:tc>
        <w:tc>
          <w:tcPr>
            <w:tcW w:w="5953" w:type="dxa"/>
            <w:gridSpan w:val="3"/>
            <w:vAlign w:val="center"/>
          </w:tcPr>
          <w:p w:rsidR="008017C6" w:rsidRDefault="008017C6" w:rsidP="008017C6">
            <w:pPr>
              <w:pStyle w:val="TableParagraph"/>
              <w:spacing w:before="92"/>
              <w:ind w:left="7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>HASSAS GÖREVLER LİSTESİ</w:t>
            </w:r>
          </w:p>
        </w:tc>
        <w:tc>
          <w:tcPr>
            <w:tcW w:w="5103" w:type="dxa"/>
            <w:vAlign w:val="center"/>
          </w:tcPr>
          <w:p w:rsidR="008017C6" w:rsidRDefault="008017C6" w:rsidP="008017C6">
            <w:pPr>
              <w:pStyle w:val="TableParagraph"/>
              <w:spacing w:before="92"/>
              <w:ind w:left="7"/>
              <w:rPr>
                <w:b/>
                <w:spacing w:val="-2"/>
                <w:sz w:val="24"/>
              </w:rPr>
            </w:pPr>
            <w:r w:rsidRPr="008017C6">
              <w:rPr>
                <w:b/>
                <w:spacing w:val="-2"/>
                <w:sz w:val="24"/>
              </w:rPr>
              <w:t>Yayın Tarihi:</w:t>
            </w:r>
          </w:p>
        </w:tc>
        <w:tc>
          <w:tcPr>
            <w:tcW w:w="3824" w:type="dxa"/>
          </w:tcPr>
          <w:p w:rsidR="008017C6" w:rsidRDefault="003049EA" w:rsidP="008017C6">
            <w:pPr>
              <w:pStyle w:val="TableParagraph"/>
              <w:spacing w:before="115"/>
              <w:ind w:left="127"/>
              <w:rPr>
                <w:b/>
              </w:rPr>
            </w:pPr>
            <w:r>
              <w:rPr>
                <w:b/>
                <w:spacing w:val="-2"/>
                <w:sz w:val="24"/>
              </w:rPr>
              <w:t>Reviz</w:t>
            </w:r>
            <w:r w:rsidR="008017C6">
              <w:rPr>
                <w:b/>
                <w:spacing w:val="-2"/>
                <w:sz w:val="24"/>
              </w:rPr>
              <w:t>yon No:</w:t>
            </w:r>
          </w:p>
        </w:tc>
      </w:tr>
      <w:tr w:rsidR="008017C6" w:rsidTr="008017C6">
        <w:trPr>
          <w:trHeight w:val="705"/>
        </w:trPr>
        <w:tc>
          <w:tcPr>
            <w:tcW w:w="856" w:type="dxa"/>
          </w:tcPr>
          <w:p w:rsidR="008017C6" w:rsidRDefault="008017C6" w:rsidP="008017C6">
            <w:pPr>
              <w:pStyle w:val="TableParagraph"/>
              <w:spacing w:before="92"/>
              <w:ind w:left="287" w:right="92" w:hanging="6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Sıra </w:t>
            </w:r>
            <w:r>
              <w:rPr>
                <w:b/>
                <w:spacing w:val="-6"/>
                <w:sz w:val="24"/>
              </w:rPr>
              <w:t>No</w:t>
            </w:r>
          </w:p>
        </w:tc>
        <w:tc>
          <w:tcPr>
            <w:tcW w:w="2126" w:type="dxa"/>
          </w:tcPr>
          <w:p w:rsidR="008017C6" w:rsidRDefault="008017C6" w:rsidP="008017C6">
            <w:pPr>
              <w:pStyle w:val="TableParagraph"/>
              <w:spacing w:before="231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Hassas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Görev</w:t>
            </w:r>
          </w:p>
        </w:tc>
        <w:tc>
          <w:tcPr>
            <w:tcW w:w="2552" w:type="dxa"/>
          </w:tcPr>
          <w:p w:rsidR="008017C6" w:rsidRDefault="008017C6" w:rsidP="008017C6">
            <w:pPr>
              <w:pStyle w:val="TableParagraph"/>
              <w:spacing w:before="115"/>
              <w:ind w:left="947" w:hanging="783"/>
              <w:rPr>
                <w:b/>
              </w:rPr>
            </w:pPr>
            <w:r>
              <w:rPr>
                <w:b/>
              </w:rPr>
              <w:t>Hassas Görevi Olan</w:t>
            </w:r>
          </w:p>
          <w:p w:rsidR="008017C6" w:rsidRDefault="008017C6" w:rsidP="008017C6">
            <w:pPr>
              <w:pStyle w:val="TableParagraph"/>
              <w:spacing w:before="115"/>
              <w:ind w:left="947" w:hanging="783"/>
              <w:rPr>
                <w:b/>
              </w:rPr>
            </w:pPr>
            <w:r>
              <w:rPr>
                <w:b/>
              </w:rPr>
              <w:t>Birim</w:t>
            </w:r>
          </w:p>
        </w:tc>
        <w:tc>
          <w:tcPr>
            <w:tcW w:w="1275" w:type="dxa"/>
          </w:tcPr>
          <w:p w:rsidR="008017C6" w:rsidRDefault="008017C6" w:rsidP="008017C6">
            <w:pPr>
              <w:pStyle w:val="TableParagraph"/>
              <w:spacing w:before="92"/>
              <w:ind w:left="108" w:right="95" w:firstLine="177"/>
              <w:rPr>
                <w:b/>
                <w:spacing w:val="-4"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Risk </w:t>
            </w:r>
          </w:p>
          <w:p w:rsidR="008017C6" w:rsidRDefault="008017C6" w:rsidP="008017C6">
            <w:pPr>
              <w:pStyle w:val="TableParagraph"/>
              <w:spacing w:before="92"/>
              <w:ind w:left="108" w:right="95" w:firstLine="1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Düzeyi*</w:t>
            </w:r>
          </w:p>
        </w:tc>
        <w:tc>
          <w:tcPr>
            <w:tcW w:w="5103" w:type="dxa"/>
          </w:tcPr>
          <w:p w:rsidR="008017C6" w:rsidRDefault="008017C6" w:rsidP="008017C6">
            <w:pPr>
              <w:pStyle w:val="TableParagraph"/>
              <w:spacing w:before="92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Prosedürü</w:t>
            </w:r>
          </w:p>
          <w:p w:rsidR="008017C6" w:rsidRDefault="008017C6" w:rsidP="008017C6">
            <w:pPr>
              <w:pStyle w:val="TableParagraph"/>
              <w:ind w:left="7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(Alınması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Gereken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Önlemler)</w:t>
            </w:r>
          </w:p>
        </w:tc>
        <w:tc>
          <w:tcPr>
            <w:tcW w:w="3824" w:type="dxa"/>
          </w:tcPr>
          <w:p w:rsidR="008017C6" w:rsidRDefault="008017C6" w:rsidP="008017C6">
            <w:pPr>
              <w:pStyle w:val="TableParagraph"/>
              <w:spacing w:before="115"/>
              <w:ind w:left="127"/>
              <w:rPr>
                <w:b/>
              </w:rPr>
            </w:pPr>
            <w:r>
              <w:rPr>
                <w:b/>
              </w:rPr>
              <w:t>Görevin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Yerine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Getirilememesi  Kaynaklı Sonuç</w:t>
            </w:r>
          </w:p>
        </w:tc>
      </w:tr>
      <w:tr w:rsidR="008017C6" w:rsidTr="008017C6">
        <w:trPr>
          <w:trHeight w:val="1084"/>
        </w:trPr>
        <w:tc>
          <w:tcPr>
            <w:tcW w:w="856" w:type="dxa"/>
            <w:vAlign w:val="center"/>
          </w:tcPr>
          <w:p w:rsidR="008017C6" w:rsidRDefault="008017C6" w:rsidP="008017C6">
            <w:pPr>
              <w:pStyle w:val="TableParagraph"/>
              <w:spacing w:before="115"/>
              <w:jc w:val="center"/>
              <w:rPr>
                <w:rFonts w:ascii="Times New Roman"/>
                <w:sz w:val="20"/>
              </w:rPr>
            </w:pPr>
          </w:p>
          <w:p w:rsidR="008017C6" w:rsidRDefault="008017C6" w:rsidP="008017C6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Vekil Personel</w:t>
            </w:r>
          </w:p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Belirlenmesi</w:t>
            </w:r>
          </w:p>
        </w:tc>
        <w:tc>
          <w:tcPr>
            <w:tcW w:w="2552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</w:p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Tüm Personel</w:t>
            </w:r>
          </w:p>
        </w:tc>
        <w:tc>
          <w:tcPr>
            <w:tcW w:w="1275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</w:p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pacing w:val="-4"/>
                <w:sz w:val="20"/>
                <w:szCs w:val="20"/>
              </w:rPr>
              <w:t>Orta</w:t>
            </w:r>
          </w:p>
        </w:tc>
        <w:tc>
          <w:tcPr>
            <w:tcW w:w="5103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Görev dağılımının açık şekilde yapılması ve yedek personel belirlenmesi,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İş takvimlerinin oluşturulması, süreçlerin düzenli olarak izlenmesi ve iş devri mekanizmasının uygulanması.</w:t>
            </w:r>
          </w:p>
        </w:tc>
        <w:tc>
          <w:tcPr>
            <w:tcW w:w="3824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Görevin zamanında ve etkin şekilde yerine getirilememesi,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Süreklilik arz eden iş ve işlemlerin aksaması veya tamamlanamaması,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Hizmet sunumunda gecikmeler yaşanması.</w:t>
            </w:r>
          </w:p>
        </w:tc>
      </w:tr>
      <w:tr w:rsidR="008017C6" w:rsidTr="008017C6">
        <w:trPr>
          <w:trHeight w:val="1552"/>
        </w:trPr>
        <w:tc>
          <w:tcPr>
            <w:tcW w:w="856" w:type="dxa"/>
            <w:vAlign w:val="center"/>
          </w:tcPr>
          <w:p w:rsidR="008017C6" w:rsidRDefault="008017C6" w:rsidP="008017C6">
            <w:pPr>
              <w:pStyle w:val="TableParagraph"/>
              <w:spacing w:before="11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126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Evrak</w:t>
            </w:r>
            <w:r w:rsidRPr="00432B52">
              <w:rPr>
                <w:spacing w:val="-5"/>
                <w:sz w:val="20"/>
                <w:szCs w:val="20"/>
              </w:rPr>
              <w:t xml:space="preserve"> </w:t>
            </w:r>
            <w:r w:rsidRPr="00432B52">
              <w:rPr>
                <w:sz w:val="20"/>
                <w:szCs w:val="20"/>
              </w:rPr>
              <w:t>kayıt</w:t>
            </w:r>
            <w:r w:rsidRPr="00432B52">
              <w:rPr>
                <w:spacing w:val="-3"/>
                <w:sz w:val="20"/>
                <w:szCs w:val="20"/>
              </w:rPr>
              <w:t xml:space="preserve"> </w:t>
            </w:r>
            <w:r w:rsidRPr="00432B52">
              <w:rPr>
                <w:sz w:val="20"/>
                <w:szCs w:val="20"/>
              </w:rPr>
              <w:t>ve</w:t>
            </w:r>
            <w:r w:rsidRPr="00432B52">
              <w:rPr>
                <w:spacing w:val="-3"/>
                <w:sz w:val="20"/>
                <w:szCs w:val="20"/>
              </w:rPr>
              <w:t xml:space="preserve"> </w:t>
            </w:r>
            <w:r w:rsidRPr="00432B52">
              <w:rPr>
                <w:sz w:val="20"/>
                <w:szCs w:val="20"/>
              </w:rPr>
              <w:t>yazışmalar</w:t>
            </w:r>
          </w:p>
        </w:tc>
        <w:tc>
          <w:tcPr>
            <w:tcW w:w="2552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</w:p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Yazı İşleri ve evrak kayıt Birimi</w:t>
            </w:r>
          </w:p>
        </w:tc>
        <w:tc>
          <w:tcPr>
            <w:tcW w:w="1275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pacing w:val="-4"/>
                <w:sz w:val="20"/>
                <w:szCs w:val="20"/>
              </w:rPr>
              <w:t>Orta</w:t>
            </w:r>
          </w:p>
        </w:tc>
        <w:tc>
          <w:tcPr>
            <w:tcW w:w="5103" w:type="dxa"/>
          </w:tcPr>
          <w:p w:rsidR="000958FE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Evrak kayıt ve takip işlemlerinin günlük olarak yapılması ve evrakların süresi içerisinde sonuçlandırılmasının periyodik olarak kontrol edilmesi</w:t>
            </w:r>
            <w:r w:rsidR="000958FE"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EBYS üzerinden süreçlerin düzenli izlenmesi,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Sorumlu personel ve yedek personel belirlenmesi,</w:t>
            </w:r>
          </w:p>
        </w:tc>
        <w:tc>
          <w:tcPr>
            <w:tcW w:w="3824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Daire Başkanlığımıza gelen evrakların zamanında kayıt altına alınmaması ve gönderilecek yazışma ile evrakların süresi içerisinde gönderilememesi nedeniyle idari, mali ve hukuki olumsuzlukların ortaya çıkması,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iş ve işlemlerin gecikmesi</w:t>
            </w:r>
          </w:p>
        </w:tc>
      </w:tr>
      <w:tr w:rsidR="008017C6" w:rsidTr="008017C6">
        <w:trPr>
          <w:trHeight w:val="1042"/>
        </w:trPr>
        <w:tc>
          <w:tcPr>
            <w:tcW w:w="856" w:type="dxa"/>
            <w:vAlign w:val="center"/>
          </w:tcPr>
          <w:p w:rsidR="008017C6" w:rsidRDefault="008017C6" w:rsidP="008017C6">
            <w:pPr>
              <w:pStyle w:val="TableParagraph"/>
              <w:spacing w:before="11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Yıllık</w:t>
            </w:r>
            <w:r w:rsidRPr="00432B52"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i</w:t>
            </w:r>
            <w:r w:rsidRPr="00432B52">
              <w:rPr>
                <w:spacing w:val="-4"/>
                <w:sz w:val="20"/>
                <w:szCs w:val="20"/>
              </w:rPr>
              <w:t xml:space="preserve">zin </w:t>
            </w:r>
            <w:r>
              <w:rPr>
                <w:spacing w:val="-4"/>
                <w:sz w:val="20"/>
                <w:szCs w:val="20"/>
              </w:rPr>
              <w:t>k</w:t>
            </w:r>
            <w:r w:rsidRPr="00432B52">
              <w:rPr>
                <w:spacing w:val="-4"/>
                <w:sz w:val="20"/>
                <w:szCs w:val="20"/>
              </w:rPr>
              <w:t>ullanımı</w:t>
            </w:r>
          </w:p>
        </w:tc>
        <w:tc>
          <w:tcPr>
            <w:tcW w:w="2552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Tüm Personel</w:t>
            </w:r>
          </w:p>
        </w:tc>
        <w:tc>
          <w:tcPr>
            <w:tcW w:w="1275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pacing w:val="-4"/>
                <w:sz w:val="20"/>
                <w:szCs w:val="20"/>
              </w:rPr>
              <w:t>Orta</w:t>
            </w:r>
          </w:p>
        </w:tc>
        <w:tc>
          <w:tcPr>
            <w:tcW w:w="5103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 xml:space="preserve"> - Yıllık izinlerin önceden planlanması, görev dağılımının yapılması ve yedek personel görevlendirilmesi.</w:t>
            </w:r>
          </w:p>
        </w:tc>
        <w:tc>
          <w:tcPr>
            <w:tcW w:w="3824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-Yıllık izinlerin planlı şekilde kullandırılmaması nedeniyle iş ve işlemlerin aksaması, hizmet sunumunda gecikmeler yaşanması ve personel yetersizliği oluşması</w:t>
            </w:r>
            <w:r>
              <w:rPr>
                <w:sz w:val="20"/>
                <w:szCs w:val="20"/>
              </w:rPr>
              <w:t>.</w:t>
            </w:r>
          </w:p>
        </w:tc>
      </w:tr>
      <w:tr w:rsidR="008017C6" w:rsidTr="008017C6">
        <w:trPr>
          <w:trHeight w:val="1042"/>
        </w:trPr>
        <w:tc>
          <w:tcPr>
            <w:tcW w:w="856" w:type="dxa"/>
            <w:vAlign w:val="center"/>
          </w:tcPr>
          <w:p w:rsidR="008017C6" w:rsidRDefault="008017C6" w:rsidP="008017C6">
            <w:pPr>
              <w:pStyle w:val="TableParagraph"/>
              <w:spacing w:before="11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Yaklaşık</w:t>
            </w:r>
            <w:r w:rsidRPr="00432B52">
              <w:rPr>
                <w:spacing w:val="8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</w:t>
            </w:r>
            <w:r w:rsidRPr="00432B52">
              <w:rPr>
                <w:sz w:val="20"/>
                <w:szCs w:val="20"/>
              </w:rPr>
              <w:t>aliyet Hesaplaması</w:t>
            </w:r>
          </w:p>
        </w:tc>
        <w:tc>
          <w:tcPr>
            <w:tcW w:w="2552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Teknik Personel</w:t>
            </w:r>
          </w:p>
        </w:tc>
        <w:tc>
          <w:tcPr>
            <w:tcW w:w="1275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</w:p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</w:p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pacing w:val="-4"/>
                <w:sz w:val="20"/>
                <w:szCs w:val="20"/>
              </w:rPr>
              <w:t>Orta</w:t>
            </w:r>
          </w:p>
        </w:tc>
        <w:tc>
          <w:tcPr>
            <w:tcW w:w="5103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Teknik şartname ve ihtiyaçların doğru belirlenmesi,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Yaklaşık maliyet hesaplamalarında güncel piyasa araştırmasının yapılması,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İlgili mevzuat hükümlerinin düzenli olarak takip edilmesi</w:t>
            </w:r>
            <w:r w:rsidR="000958FE">
              <w:rPr>
                <w:sz w:val="20"/>
                <w:szCs w:val="20"/>
              </w:rPr>
              <w:t>.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824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Yaklaşık maliyetin hatalı hesaplanması nedeniyle bütçe yetersizliği veya kaynak israfı oluşması,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Piyasa rayiçlerinin doğru tespit edilememesi nedeniyle kamu zararının oluşması,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Mevzuata aykırı işlem tesis edilmesi ve denetim bulgularının ortaya çıkması.</w:t>
            </w:r>
          </w:p>
        </w:tc>
      </w:tr>
      <w:tr w:rsidR="008017C6" w:rsidTr="008017C6">
        <w:trPr>
          <w:trHeight w:val="1042"/>
        </w:trPr>
        <w:tc>
          <w:tcPr>
            <w:tcW w:w="856" w:type="dxa"/>
            <w:vAlign w:val="center"/>
          </w:tcPr>
          <w:p w:rsidR="008017C6" w:rsidRDefault="008017C6" w:rsidP="008017C6">
            <w:pPr>
              <w:pStyle w:val="TableParagraph"/>
              <w:spacing w:before="11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Satın</w:t>
            </w:r>
            <w:r w:rsidRPr="00432B52">
              <w:rPr>
                <w:spacing w:val="-9"/>
                <w:sz w:val="20"/>
                <w:szCs w:val="20"/>
              </w:rPr>
              <w:t xml:space="preserve"> </w:t>
            </w:r>
            <w:r w:rsidRPr="00432B52">
              <w:rPr>
                <w:sz w:val="20"/>
                <w:szCs w:val="20"/>
              </w:rPr>
              <w:t>alma</w:t>
            </w:r>
            <w:r w:rsidRPr="00432B52">
              <w:rPr>
                <w:spacing w:val="-7"/>
                <w:sz w:val="20"/>
                <w:szCs w:val="20"/>
              </w:rPr>
              <w:t xml:space="preserve"> </w:t>
            </w:r>
            <w:r w:rsidRPr="00432B52">
              <w:rPr>
                <w:sz w:val="20"/>
                <w:szCs w:val="20"/>
              </w:rPr>
              <w:t>süresinin</w:t>
            </w:r>
            <w:r w:rsidRPr="00432B52">
              <w:rPr>
                <w:spacing w:val="-5"/>
                <w:sz w:val="20"/>
                <w:szCs w:val="20"/>
              </w:rPr>
              <w:t xml:space="preserve"> </w:t>
            </w:r>
            <w:r w:rsidRPr="00432B52">
              <w:rPr>
                <w:sz w:val="20"/>
                <w:szCs w:val="20"/>
              </w:rPr>
              <w:t>hesaplanması</w:t>
            </w:r>
          </w:p>
        </w:tc>
        <w:tc>
          <w:tcPr>
            <w:tcW w:w="2552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Satın Alma Birimi</w:t>
            </w:r>
          </w:p>
        </w:tc>
        <w:tc>
          <w:tcPr>
            <w:tcW w:w="1275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pacing w:val="-4"/>
                <w:sz w:val="20"/>
                <w:szCs w:val="20"/>
              </w:rPr>
              <w:t>Orta</w:t>
            </w:r>
          </w:p>
        </w:tc>
        <w:tc>
          <w:tcPr>
            <w:tcW w:w="5103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Satın alma takviminin oluşturulması, süreçlerin mevzuatta belirtilen süreler dikkate alınarak planlanması,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İş ve işlem takibinin düzenli yapılması ve gecikmelere karşı gerekli tedbirlerin alınması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824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Satın alma işlemlerinin zamanında tamamlanamaması,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İhtiyaçların gecikmeli karşılanması,</w:t>
            </w:r>
          </w:p>
          <w:p w:rsidR="00ED2A2D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 xml:space="preserve">- Hizmetlerin aksaması, ödeneklerin etkin kullanılamaması ve </w:t>
            </w:r>
            <w:r w:rsidR="00ED2A2D">
              <w:rPr>
                <w:sz w:val="20"/>
                <w:szCs w:val="20"/>
              </w:rPr>
              <w:t>kamu zararına sebebiyet vermesi,</w:t>
            </w:r>
          </w:p>
          <w:p w:rsidR="008017C6" w:rsidRPr="00432B52" w:rsidRDefault="00ED2A2D" w:rsidP="00ED2A2D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M</w:t>
            </w:r>
            <w:r w:rsidR="008017C6" w:rsidRPr="00432B52">
              <w:rPr>
                <w:sz w:val="20"/>
                <w:szCs w:val="20"/>
              </w:rPr>
              <w:t>ali yıl içerisinde işlemlerin sonuçlandırılamaması</w:t>
            </w:r>
            <w:r w:rsidR="008017C6">
              <w:rPr>
                <w:sz w:val="20"/>
                <w:szCs w:val="20"/>
              </w:rPr>
              <w:t>.</w:t>
            </w:r>
          </w:p>
        </w:tc>
      </w:tr>
      <w:tr w:rsidR="008017C6" w:rsidTr="008017C6">
        <w:trPr>
          <w:trHeight w:val="1042"/>
        </w:trPr>
        <w:tc>
          <w:tcPr>
            <w:tcW w:w="856" w:type="dxa"/>
            <w:vAlign w:val="center"/>
          </w:tcPr>
          <w:p w:rsidR="008017C6" w:rsidRDefault="008017C6" w:rsidP="008017C6">
            <w:pPr>
              <w:pStyle w:val="TableParagraph"/>
              <w:spacing w:before="11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lastRenderedPageBreak/>
              <w:t>6</w:t>
            </w:r>
          </w:p>
        </w:tc>
        <w:tc>
          <w:tcPr>
            <w:tcW w:w="2126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Satın</w:t>
            </w:r>
            <w:r w:rsidRPr="00432B52">
              <w:rPr>
                <w:spacing w:val="-7"/>
                <w:sz w:val="20"/>
                <w:szCs w:val="20"/>
              </w:rPr>
              <w:t xml:space="preserve"> </w:t>
            </w:r>
            <w:r w:rsidRPr="00432B52">
              <w:rPr>
                <w:sz w:val="20"/>
                <w:szCs w:val="20"/>
              </w:rPr>
              <w:t>alma</w:t>
            </w:r>
            <w:r w:rsidRPr="00432B52"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ödemelerinin belirlenmesi</w:t>
            </w:r>
          </w:p>
        </w:tc>
        <w:tc>
          <w:tcPr>
            <w:tcW w:w="2552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Satın Alma Birimi</w:t>
            </w:r>
          </w:p>
        </w:tc>
        <w:tc>
          <w:tcPr>
            <w:tcW w:w="1275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pacing w:val="-4"/>
                <w:sz w:val="20"/>
                <w:szCs w:val="20"/>
              </w:rPr>
            </w:pPr>
            <w:r w:rsidRPr="00432B52">
              <w:rPr>
                <w:spacing w:val="-4"/>
                <w:sz w:val="20"/>
                <w:szCs w:val="20"/>
              </w:rPr>
              <w:t>Orta</w:t>
            </w:r>
          </w:p>
        </w:tc>
        <w:tc>
          <w:tcPr>
            <w:tcW w:w="5103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Satın alma ve bütçe planlamasının stratejik h</w:t>
            </w:r>
            <w:r>
              <w:rPr>
                <w:sz w:val="20"/>
                <w:szCs w:val="20"/>
              </w:rPr>
              <w:t>edefler doğrultusunda yapılması,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Ödeneklerin düzenli olarak takip edilmesi ve periyodik bütçe kontrollerinin yapılması,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Birimlerden gelen ihtiyaçların zamanında v</w:t>
            </w:r>
            <w:r>
              <w:rPr>
                <w:sz w:val="20"/>
                <w:szCs w:val="20"/>
              </w:rPr>
              <w:t>e doğru şekilde analiz edilmesi.</w:t>
            </w:r>
          </w:p>
        </w:tc>
        <w:tc>
          <w:tcPr>
            <w:tcW w:w="3824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İh</w:t>
            </w:r>
            <w:r>
              <w:rPr>
                <w:sz w:val="20"/>
                <w:szCs w:val="20"/>
              </w:rPr>
              <w:t xml:space="preserve">tiyaçların doğru planlanamaması </w:t>
            </w:r>
            <w:r w:rsidRPr="00432B52">
              <w:rPr>
                <w:sz w:val="20"/>
                <w:szCs w:val="20"/>
              </w:rPr>
              <w:t>nedeniyle bütçenin yetersiz ka</w:t>
            </w:r>
            <w:r>
              <w:rPr>
                <w:sz w:val="20"/>
                <w:szCs w:val="20"/>
              </w:rPr>
              <w:t>lması veya atıl ödenek oluşması,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Satın alma işlemlerinin gecikmesi sonucu hizmetlerin aksaması,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Mevzuata aykırı harcama yapılması ve kamu zararının oluşması.</w:t>
            </w:r>
          </w:p>
        </w:tc>
      </w:tr>
      <w:tr w:rsidR="008017C6" w:rsidTr="008017C6">
        <w:trPr>
          <w:trHeight w:val="1042"/>
        </w:trPr>
        <w:tc>
          <w:tcPr>
            <w:tcW w:w="856" w:type="dxa"/>
            <w:vAlign w:val="center"/>
          </w:tcPr>
          <w:p w:rsidR="008017C6" w:rsidRDefault="008017C6" w:rsidP="008017C6">
            <w:pPr>
              <w:pStyle w:val="TableParagraph"/>
              <w:spacing w:before="11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 xml:space="preserve">Taşınır </w:t>
            </w:r>
            <w:r>
              <w:rPr>
                <w:sz w:val="20"/>
                <w:szCs w:val="20"/>
              </w:rPr>
              <w:t>m</w:t>
            </w:r>
            <w:r w:rsidRPr="00432B52">
              <w:rPr>
                <w:sz w:val="20"/>
                <w:szCs w:val="20"/>
              </w:rPr>
              <w:t>alzemeleri</w:t>
            </w:r>
            <w:r>
              <w:rPr>
                <w:sz w:val="20"/>
                <w:szCs w:val="20"/>
              </w:rPr>
              <w:t xml:space="preserve">nin </w:t>
            </w:r>
            <w:r w:rsidRPr="00432B52">
              <w:rPr>
                <w:sz w:val="20"/>
                <w:szCs w:val="20"/>
              </w:rPr>
              <w:t>sayım işlemleri</w:t>
            </w:r>
            <w:r>
              <w:rPr>
                <w:sz w:val="20"/>
                <w:szCs w:val="20"/>
              </w:rPr>
              <w:t>nin yapılması</w:t>
            </w:r>
          </w:p>
        </w:tc>
        <w:tc>
          <w:tcPr>
            <w:tcW w:w="2552" w:type="dxa"/>
            <w:vAlign w:val="center"/>
          </w:tcPr>
          <w:p w:rsidR="00616F62" w:rsidRDefault="00616F62" w:rsidP="00ED2A2D">
            <w:pPr>
              <w:pStyle w:val="AralkYok"/>
              <w:jc w:val="center"/>
              <w:rPr>
                <w:sz w:val="20"/>
                <w:szCs w:val="20"/>
              </w:rPr>
            </w:pPr>
          </w:p>
          <w:p w:rsidR="00ED2A2D" w:rsidRDefault="008017C6" w:rsidP="00ED2A2D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Taşı</w:t>
            </w:r>
            <w:r w:rsidR="00ED2A2D">
              <w:rPr>
                <w:sz w:val="20"/>
                <w:szCs w:val="20"/>
              </w:rPr>
              <w:t>nır Kayıt Yetkilisi</w:t>
            </w:r>
          </w:p>
          <w:p w:rsidR="008017C6" w:rsidRPr="00432B52" w:rsidRDefault="008017C6" w:rsidP="00ED2A2D">
            <w:pPr>
              <w:pStyle w:val="AralkYok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pacing w:val="-4"/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Yüksek</w:t>
            </w:r>
          </w:p>
        </w:tc>
        <w:tc>
          <w:tcPr>
            <w:tcW w:w="5103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Sayım öncesinde kayıtların güncellenmesi ve kontrol edilmesi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Mevzuata uygun sayım yapılması, tutanak ve belgelerin eksiksiz düzenlenmesi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Taşınır kayıtlarının düzenli kontrol edilmesi ve ikinci bir personel tarafından doğrulanması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824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Taşınır kayıtları ile fiili durum arasında uyumsuzluk oluşması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Denetimlerde bulgu tespit edilmesi ve idari sorumluluk doğması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Kayıp, çalıntı veya hurdaya ayrılması gereken malzemelerin tespit edilememesi</w:t>
            </w:r>
            <w:r>
              <w:rPr>
                <w:sz w:val="20"/>
                <w:szCs w:val="20"/>
              </w:rPr>
              <w:t>.</w:t>
            </w:r>
          </w:p>
        </w:tc>
      </w:tr>
      <w:tr w:rsidR="008017C6" w:rsidTr="008017C6">
        <w:trPr>
          <w:trHeight w:val="1042"/>
        </w:trPr>
        <w:tc>
          <w:tcPr>
            <w:tcW w:w="856" w:type="dxa"/>
            <w:vAlign w:val="center"/>
          </w:tcPr>
          <w:p w:rsidR="008017C6" w:rsidRDefault="008017C6" w:rsidP="008017C6">
            <w:pPr>
              <w:pStyle w:val="TableParagraph"/>
              <w:spacing w:before="11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Taşınır</w:t>
            </w:r>
            <w:r w:rsidRPr="00432B52">
              <w:rPr>
                <w:sz w:val="20"/>
                <w:szCs w:val="20"/>
              </w:rPr>
              <w:tab/>
              <w:t>tüketim</w:t>
            </w:r>
            <w:r>
              <w:rPr>
                <w:sz w:val="20"/>
                <w:szCs w:val="20"/>
              </w:rPr>
              <w:t xml:space="preserve"> </w:t>
            </w:r>
            <w:r w:rsidRPr="00432B52">
              <w:rPr>
                <w:sz w:val="20"/>
                <w:szCs w:val="20"/>
              </w:rPr>
              <w:t>malzemelerinin</w:t>
            </w:r>
            <w:r w:rsidRPr="00432B52">
              <w:rPr>
                <w:sz w:val="20"/>
                <w:szCs w:val="20"/>
              </w:rPr>
              <w:tab/>
            </w:r>
            <w:r w:rsidR="00616F62">
              <w:rPr>
                <w:sz w:val="20"/>
                <w:szCs w:val="20"/>
              </w:rPr>
              <w:t>giriş-</w:t>
            </w:r>
            <w:r w:rsidRPr="00432B52">
              <w:rPr>
                <w:sz w:val="20"/>
                <w:szCs w:val="20"/>
              </w:rPr>
              <w:t>çıkış işlemleri</w:t>
            </w:r>
            <w:r>
              <w:rPr>
                <w:sz w:val="20"/>
                <w:szCs w:val="20"/>
              </w:rPr>
              <w:t>nin yapılması</w:t>
            </w:r>
          </w:p>
        </w:tc>
        <w:tc>
          <w:tcPr>
            <w:tcW w:w="2552" w:type="dxa"/>
            <w:vAlign w:val="center"/>
          </w:tcPr>
          <w:p w:rsidR="008017C6" w:rsidRPr="00432B52" w:rsidRDefault="00616F62" w:rsidP="00616F62">
            <w:pPr>
              <w:pStyle w:val="AralkYok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Taşınır Kayıt Yetkilisi</w:t>
            </w:r>
          </w:p>
        </w:tc>
        <w:tc>
          <w:tcPr>
            <w:tcW w:w="1275" w:type="dxa"/>
            <w:vAlign w:val="center"/>
          </w:tcPr>
          <w:p w:rsidR="008017C6" w:rsidRPr="00432B52" w:rsidRDefault="00616F62" w:rsidP="008017C6">
            <w:pPr>
              <w:pStyle w:val="AralkYok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Orta</w:t>
            </w:r>
          </w:p>
        </w:tc>
        <w:tc>
          <w:tcPr>
            <w:tcW w:w="5103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 xml:space="preserve">- </w:t>
            </w:r>
            <w:r w:rsidR="00616F62">
              <w:rPr>
                <w:sz w:val="20"/>
                <w:szCs w:val="20"/>
              </w:rPr>
              <w:t>Giriş-ç</w:t>
            </w:r>
            <w:r w:rsidRPr="00432B52">
              <w:rPr>
                <w:sz w:val="20"/>
                <w:szCs w:val="20"/>
              </w:rPr>
              <w:t>ıkış işlemlerinin taşınır işlem fişine dayanılarak yapılması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 xml:space="preserve">- </w:t>
            </w:r>
            <w:r w:rsidR="00616F62">
              <w:rPr>
                <w:sz w:val="20"/>
                <w:szCs w:val="20"/>
              </w:rPr>
              <w:t>Giriş-ç</w:t>
            </w:r>
            <w:r w:rsidRPr="00432B52">
              <w:rPr>
                <w:sz w:val="20"/>
                <w:szCs w:val="20"/>
              </w:rPr>
              <w:t>ıkış işlemlerinin zamanında sisteme işlenmesi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Mevzuata uygun işlem yapılması ve belgelerin muhafaza edilmesi</w:t>
            </w:r>
            <w:r>
              <w:rPr>
                <w:sz w:val="20"/>
                <w:szCs w:val="20"/>
              </w:rPr>
              <w:t>,</w:t>
            </w:r>
          </w:p>
        </w:tc>
        <w:tc>
          <w:tcPr>
            <w:tcW w:w="3824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Tüketim malzemelerinin kayıt dışı veya hatalı çıkışının yapılması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Malzeme kaybı ve kamu zararının oluşması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Denetimlerde bulgu tespit edilmesi</w:t>
            </w:r>
            <w:r>
              <w:rPr>
                <w:sz w:val="20"/>
                <w:szCs w:val="20"/>
              </w:rPr>
              <w:t>.</w:t>
            </w:r>
          </w:p>
        </w:tc>
      </w:tr>
      <w:tr w:rsidR="008017C6" w:rsidTr="008017C6">
        <w:trPr>
          <w:trHeight w:val="1042"/>
        </w:trPr>
        <w:tc>
          <w:tcPr>
            <w:tcW w:w="856" w:type="dxa"/>
            <w:vAlign w:val="center"/>
          </w:tcPr>
          <w:p w:rsidR="008017C6" w:rsidRDefault="008017C6" w:rsidP="008017C6">
            <w:pPr>
              <w:pStyle w:val="TableParagraph"/>
              <w:spacing w:before="11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3049EA">
              <w:rPr>
                <w:sz w:val="20"/>
                <w:szCs w:val="20"/>
              </w:rPr>
              <w:t>İnceleme</w:t>
            </w:r>
            <w:r w:rsidRPr="003049EA">
              <w:rPr>
                <w:spacing w:val="-10"/>
                <w:sz w:val="20"/>
                <w:szCs w:val="20"/>
              </w:rPr>
              <w:t xml:space="preserve"> </w:t>
            </w:r>
            <w:r w:rsidRPr="003049EA">
              <w:rPr>
                <w:sz w:val="20"/>
                <w:szCs w:val="20"/>
              </w:rPr>
              <w:t>ve</w:t>
            </w:r>
            <w:r w:rsidRPr="003049EA">
              <w:rPr>
                <w:spacing w:val="-8"/>
                <w:sz w:val="20"/>
                <w:szCs w:val="20"/>
              </w:rPr>
              <w:t xml:space="preserve"> </w:t>
            </w:r>
            <w:r w:rsidRPr="003049EA">
              <w:rPr>
                <w:sz w:val="20"/>
                <w:szCs w:val="20"/>
              </w:rPr>
              <w:t>kontrollük</w:t>
            </w:r>
            <w:r w:rsidRPr="003049EA">
              <w:rPr>
                <w:spacing w:val="-7"/>
                <w:sz w:val="20"/>
                <w:szCs w:val="20"/>
              </w:rPr>
              <w:t xml:space="preserve"> </w:t>
            </w:r>
            <w:r w:rsidRPr="003049EA">
              <w:rPr>
                <w:sz w:val="20"/>
                <w:szCs w:val="20"/>
              </w:rPr>
              <w:t>İşleri</w:t>
            </w:r>
          </w:p>
        </w:tc>
        <w:tc>
          <w:tcPr>
            <w:tcW w:w="2552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Teknik Personeller</w:t>
            </w:r>
          </w:p>
        </w:tc>
        <w:tc>
          <w:tcPr>
            <w:tcW w:w="1275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Yüksek</w:t>
            </w:r>
          </w:p>
        </w:tc>
        <w:tc>
          <w:tcPr>
            <w:tcW w:w="5103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Düzenli saha kontrollerinin yapılması ve kontrol sonuçlarının raporlanması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İş programının düzenli takip edilmesi ve gecikmelerin raporlanması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İlgili mevzuat, proje ve teknik şartnamelerin esas alınması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Hakediş öncesi metraj ve imalat kontrollerinin yapılması.</w:t>
            </w:r>
          </w:p>
        </w:tc>
        <w:tc>
          <w:tcPr>
            <w:tcW w:w="3824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Eksik, kusurlu veya hatalı imalatların tespit edilememesi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İşlerin süresinde tamamlanamaması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Teknik mevzuata aykırı uygulamaların gözden kaçması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İş sağlığı ve güvenliği açısından risklerin oluşması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Hatalı hakediş düzenlenmesi sonucu kamu zararının oluşması</w:t>
            </w:r>
            <w:r>
              <w:rPr>
                <w:sz w:val="20"/>
                <w:szCs w:val="20"/>
              </w:rPr>
              <w:t>.</w:t>
            </w:r>
          </w:p>
        </w:tc>
      </w:tr>
      <w:tr w:rsidR="008017C6" w:rsidTr="008017C6">
        <w:trPr>
          <w:trHeight w:val="1042"/>
        </w:trPr>
        <w:tc>
          <w:tcPr>
            <w:tcW w:w="856" w:type="dxa"/>
            <w:vAlign w:val="center"/>
          </w:tcPr>
          <w:p w:rsidR="008017C6" w:rsidRDefault="008017C6" w:rsidP="008017C6">
            <w:pPr>
              <w:pStyle w:val="TableParagraph"/>
              <w:spacing w:before="11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Geçici</w:t>
            </w:r>
            <w:r w:rsidRPr="00432B52">
              <w:rPr>
                <w:spacing w:val="-8"/>
                <w:sz w:val="20"/>
                <w:szCs w:val="20"/>
              </w:rPr>
              <w:t xml:space="preserve"> </w:t>
            </w:r>
            <w:r w:rsidRPr="00432B52">
              <w:rPr>
                <w:sz w:val="20"/>
                <w:szCs w:val="20"/>
              </w:rPr>
              <w:t>ve</w:t>
            </w:r>
            <w:r w:rsidRPr="00432B52"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k</w:t>
            </w:r>
            <w:r w:rsidRPr="00432B52">
              <w:rPr>
                <w:spacing w:val="-7"/>
                <w:sz w:val="20"/>
                <w:szCs w:val="20"/>
              </w:rPr>
              <w:t xml:space="preserve">esin </w:t>
            </w:r>
            <w:r>
              <w:rPr>
                <w:sz w:val="20"/>
                <w:szCs w:val="20"/>
              </w:rPr>
              <w:t>k</w:t>
            </w:r>
            <w:r w:rsidRPr="00432B52">
              <w:rPr>
                <w:sz w:val="20"/>
                <w:szCs w:val="20"/>
              </w:rPr>
              <w:t>abul</w:t>
            </w:r>
            <w:r w:rsidRPr="00432B52">
              <w:rPr>
                <w:spacing w:val="-8"/>
                <w:sz w:val="20"/>
                <w:szCs w:val="20"/>
              </w:rPr>
              <w:t xml:space="preserve"> </w:t>
            </w:r>
            <w:r w:rsidRPr="00432B52">
              <w:rPr>
                <w:sz w:val="20"/>
                <w:szCs w:val="20"/>
              </w:rPr>
              <w:t>komisyon</w:t>
            </w:r>
            <w:r w:rsidRPr="00432B52">
              <w:rPr>
                <w:spacing w:val="-6"/>
                <w:sz w:val="20"/>
                <w:szCs w:val="20"/>
              </w:rPr>
              <w:t xml:space="preserve"> </w:t>
            </w:r>
            <w:r w:rsidRPr="00432B52">
              <w:rPr>
                <w:sz w:val="20"/>
                <w:szCs w:val="20"/>
              </w:rPr>
              <w:t>işlemleri</w:t>
            </w:r>
          </w:p>
        </w:tc>
        <w:tc>
          <w:tcPr>
            <w:tcW w:w="2552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Teknik Personeller</w:t>
            </w:r>
          </w:p>
        </w:tc>
        <w:tc>
          <w:tcPr>
            <w:tcW w:w="1275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Orta</w:t>
            </w:r>
          </w:p>
        </w:tc>
        <w:tc>
          <w:tcPr>
            <w:tcW w:w="5103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Kabul işlemlerinin ilgili mevzuat, sözleşme, proje ve teknik şartnamelere uygun olarak yapılması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Kabul öncesinde detaylı teknik inceleme ve yerinde kontrol yapılması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Tespit edilen eksiklik ve kusurların tutanak altına alınması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Kabul dosyalarının eksiksiz hazırlanması ve kontrol edilmesi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824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Eksik veya hatalı imalatların tespit edilememesi nedeniyle kamu zararının oluşması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Denetimlerde mevzuata aykırılık tespit edilmesi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Yüklenici ile idare arasında hukuki süreçlerin oluşması</w:t>
            </w:r>
            <w:r>
              <w:rPr>
                <w:sz w:val="20"/>
                <w:szCs w:val="20"/>
              </w:rPr>
              <w:t>.</w:t>
            </w:r>
          </w:p>
        </w:tc>
      </w:tr>
      <w:tr w:rsidR="008017C6" w:rsidTr="008017C6">
        <w:trPr>
          <w:trHeight w:val="560"/>
        </w:trPr>
        <w:tc>
          <w:tcPr>
            <w:tcW w:w="856" w:type="dxa"/>
            <w:vAlign w:val="center"/>
          </w:tcPr>
          <w:p w:rsidR="008017C6" w:rsidRDefault="008017C6" w:rsidP="008017C6">
            <w:pPr>
              <w:pStyle w:val="TableParagraph"/>
              <w:spacing w:before="11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 xml:space="preserve">Araçların </w:t>
            </w:r>
            <w:r>
              <w:rPr>
                <w:sz w:val="20"/>
                <w:szCs w:val="20"/>
              </w:rPr>
              <w:t>y</w:t>
            </w:r>
            <w:r w:rsidRPr="00432B52">
              <w:rPr>
                <w:sz w:val="20"/>
                <w:szCs w:val="20"/>
              </w:rPr>
              <w:t>etkili</w:t>
            </w:r>
            <w:r w:rsidRPr="00432B52">
              <w:rPr>
                <w:spacing w:val="-12"/>
                <w:sz w:val="20"/>
                <w:szCs w:val="20"/>
              </w:rPr>
              <w:t xml:space="preserve"> </w:t>
            </w:r>
            <w:r w:rsidRPr="00432B52">
              <w:rPr>
                <w:sz w:val="20"/>
                <w:szCs w:val="20"/>
              </w:rPr>
              <w:t>personel tarafından kullanılması</w:t>
            </w:r>
          </w:p>
        </w:tc>
        <w:tc>
          <w:tcPr>
            <w:tcW w:w="2552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Taşıt İşletme Şube Müdürlüğü</w:t>
            </w:r>
          </w:p>
        </w:tc>
        <w:tc>
          <w:tcPr>
            <w:tcW w:w="1275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Orta</w:t>
            </w:r>
          </w:p>
        </w:tc>
        <w:tc>
          <w:tcPr>
            <w:tcW w:w="5103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Araçların yalnızca yetkili ve görevlendirilmiş personel tarafından kullanılmasının sağlanması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Araç teslim ve kullanım süreçlerinin düzenli olarak takip edilmesi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Sürücü belgelerinin periyodik olarak kontrol edilmesi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824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Yetkisiz personelin kurum aracı kullanması nedeniyle trafik kazası, can ve mal kaybı yaşanması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- İdarenin hukuki ve mali sorumlulukla karşı karşıya kalması</w:t>
            </w:r>
            <w:r>
              <w:rPr>
                <w:sz w:val="20"/>
                <w:szCs w:val="20"/>
              </w:rPr>
              <w:t>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lastRenderedPageBreak/>
              <w:t>- Mevzuata aykırı işlem yapılması</w:t>
            </w:r>
            <w:r>
              <w:rPr>
                <w:sz w:val="20"/>
                <w:szCs w:val="20"/>
              </w:rPr>
              <w:t>.</w:t>
            </w:r>
          </w:p>
        </w:tc>
      </w:tr>
      <w:tr w:rsidR="008017C6" w:rsidTr="008017C6">
        <w:trPr>
          <w:trHeight w:val="1042"/>
        </w:trPr>
        <w:tc>
          <w:tcPr>
            <w:tcW w:w="856" w:type="dxa"/>
            <w:vAlign w:val="center"/>
          </w:tcPr>
          <w:p w:rsidR="008017C6" w:rsidRDefault="008017C6" w:rsidP="008017C6">
            <w:pPr>
              <w:pStyle w:val="TableParagraph"/>
              <w:spacing w:before="11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lastRenderedPageBreak/>
              <w:t>12</w:t>
            </w:r>
          </w:p>
        </w:tc>
        <w:tc>
          <w:tcPr>
            <w:tcW w:w="2126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Araç</w:t>
            </w:r>
            <w:r w:rsidRPr="00432B52"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</w:t>
            </w:r>
            <w:r w:rsidRPr="00432B52">
              <w:rPr>
                <w:sz w:val="20"/>
                <w:szCs w:val="20"/>
              </w:rPr>
              <w:t>akımlarının</w:t>
            </w:r>
            <w:r w:rsidRPr="00432B52">
              <w:rPr>
                <w:spacing w:val="-10"/>
                <w:sz w:val="20"/>
                <w:szCs w:val="20"/>
              </w:rPr>
              <w:t xml:space="preserve"> </w:t>
            </w:r>
            <w:r w:rsidRPr="00432B52">
              <w:rPr>
                <w:sz w:val="20"/>
                <w:szCs w:val="20"/>
              </w:rPr>
              <w:t>zamanında</w:t>
            </w:r>
            <w:r w:rsidRPr="00432B52">
              <w:rPr>
                <w:spacing w:val="-8"/>
                <w:sz w:val="20"/>
                <w:szCs w:val="20"/>
              </w:rPr>
              <w:t xml:space="preserve"> </w:t>
            </w:r>
            <w:r w:rsidRPr="00432B52">
              <w:rPr>
                <w:sz w:val="20"/>
                <w:szCs w:val="20"/>
              </w:rPr>
              <w:t>yapılması</w:t>
            </w:r>
          </w:p>
        </w:tc>
        <w:tc>
          <w:tcPr>
            <w:tcW w:w="2552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Taşıt İşletme Şube Müdürlüğü</w:t>
            </w:r>
          </w:p>
        </w:tc>
        <w:tc>
          <w:tcPr>
            <w:tcW w:w="1275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Orta</w:t>
            </w:r>
          </w:p>
        </w:tc>
        <w:tc>
          <w:tcPr>
            <w:tcW w:w="5103" w:type="dxa"/>
          </w:tcPr>
          <w:p w:rsidR="008017C6" w:rsidRPr="00441311" w:rsidRDefault="008017C6" w:rsidP="008017C6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441311">
              <w:rPr>
                <w:sz w:val="20"/>
                <w:szCs w:val="20"/>
              </w:rPr>
              <w:t xml:space="preserve"> Bakım tarihlerinin düzenli olarak takip edilmesi ve sorumlu personel tarafından kayıt altına alınması,</w:t>
            </w:r>
          </w:p>
          <w:p w:rsidR="008017C6" w:rsidRPr="00441311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41311">
              <w:rPr>
                <w:sz w:val="20"/>
                <w:szCs w:val="20"/>
              </w:rPr>
              <w:t>- Araçların kullanım durumlarının düzenli olarak izlenmesi ve gerekli bakım-onarım işlemlerinin geciktirilmeden gerçekleştirilmesi,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824" w:type="dxa"/>
          </w:tcPr>
          <w:p w:rsidR="008017C6" w:rsidRPr="00441311" w:rsidRDefault="008017C6" w:rsidP="008017C6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44131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Araçların periyodik bakım ve </w:t>
            </w:r>
            <w:r w:rsidRPr="00441311">
              <w:rPr>
                <w:sz w:val="20"/>
                <w:szCs w:val="20"/>
              </w:rPr>
              <w:t>kontrollerinin zamanında yapılmaması nedeniyle arıza, kaza ve hizmet aksaklıklarının yaşanması,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41311">
              <w:rPr>
                <w:sz w:val="20"/>
                <w:szCs w:val="20"/>
              </w:rPr>
              <w:t>-  Bakım eksikliğinden kaynaklı yüksek onarım maliyetleri ve kamu zararı oluşması.</w:t>
            </w:r>
          </w:p>
        </w:tc>
      </w:tr>
      <w:tr w:rsidR="008017C6" w:rsidTr="008017C6">
        <w:trPr>
          <w:trHeight w:val="1042"/>
        </w:trPr>
        <w:tc>
          <w:tcPr>
            <w:tcW w:w="856" w:type="dxa"/>
            <w:vAlign w:val="center"/>
          </w:tcPr>
          <w:p w:rsidR="008017C6" w:rsidRDefault="008017C6" w:rsidP="008017C6">
            <w:pPr>
              <w:pStyle w:val="TableParagraph"/>
              <w:spacing w:before="11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Araçların</w:t>
            </w:r>
            <w:r w:rsidRPr="00432B52">
              <w:rPr>
                <w:spacing w:val="80"/>
                <w:sz w:val="20"/>
                <w:szCs w:val="20"/>
              </w:rPr>
              <w:t xml:space="preserve"> </w:t>
            </w:r>
            <w:r w:rsidRPr="00432B52">
              <w:rPr>
                <w:sz w:val="20"/>
                <w:szCs w:val="20"/>
              </w:rPr>
              <w:t>üzerinde</w:t>
            </w:r>
            <w:r w:rsidRPr="00432B52">
              <w:rPr>
                <w:spacing w:val="80"/>
                <w:sz w:val="20"/>
                <w:szCs w:val="20"/>
              </w:rPr>
              <w:t xml:space="preserve"> </w:t>
            </w:r>
            <w:r w:rsidRPr="00432B52">
              <w:rPr>
                <w:sz w:val="20"/>
                <w:szCs w:val="20"/>
              </w:rPr>
              <w:t>bulunması</w:t>
            </w:r>
            <w:r w:rsidRPr="00432B52">
              <w:rPr>
                <w:spacing w:val="80"/>
                <w:sz w:val="20"/>
                <w:szCs w:val="20"/>
              </w:rPr>
              <w:t xml:space="preserve"> </w:t>
            </w:r>
            <w:r w:rsidRPr="00432B52">
              <w:rPr>
                <w:sz w:val="20"/>
                <w:szCs w:val="20"/>
              </w:rPr>
              <w:t>gereken ekipmanlar</w:t>
            </w:r>
          </w:p>
        </w:tc>
        <w:tc>
          <w:tcPr>
            <w:tcW w:w="2552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Taşıt İşletme Şube Müdürlüğü</w:t>
            </w:r>
          </w:p>
        </w:tc>
        <w:tc>
          <w:tcPr>
            <w:tcW w:w="1275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Orta</w:t>
            </w:r>
          </w:p>
        </w:tc>
        <w:tc>
          <w:tcPr>
            <w:tcW w:w="5103" w:type="dxa"/>
          </w:tcPr>
          <w:p w:rsidR="008017C6" w:rsidRPr="00441311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41311">
              <w:rPr>
                <w:sz w:val="20"/>
                <w:szCs w:val="20"/>
              </w:rPr>
              <w:t>Araçlarda bulunması gereken ekipmanların periyodik olarak kontrol edilmesi, eksik veya kullanım süresi dolmuş malzemelerin yenilenerek kontrol kayıtlarının tutulması</w:t>
            </w:r>
            <w:r w:rsidR="003049EA">
              <w:rPr>
                <w:sz w:val="20"/>
                <w:szCs w:val="20"/>
              </w:rPr>
              <w:t>.</w:t>
            </w:r>
          </w:p>
        </w:tc>
        <w:tc>
          <w:tcPr>
            <w:tcW w:w="3824" w:type="dxa"/>
          </w:tcPr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41311">
              <w:rPr>
                <w:sz w:val="20"/>
                <w:szCs w:val="20"/>
              </w:rPr>
              <w:t>İlk yardım çantası, reflektör, yangın söndürme cihazı ve diğer zorunlu ekipmanların eksik olması nedeniyle trafik mevzuatına aykırılık, idari para cezası, kaza ve acil durumlarda müdahalenin yetersiz kalması.</w:t>
            </w:r>
          </w:p>
        </w:tc>
      </w:tr>
      <w:tr w:rsidR="008017C6" w:rsidTr="008017C6">
        <w:trPr>
          <w:trHeight w:val="1042"/>
        </w:trPr>
        <w:tc>
          <w:tcPr>
            <w:tcW w:w="856" w:type="dxa"/>
            <w:vAlign w:val="center"/>
          </w:tcPr>
          <w:p w:rsidR="008017C6" w:rsidRDefault="008017C6" w:rsidP="008017C6">
            <w:pPr>
              <w:pStyle w:val="TableParagraph"/>
              <w:spacing w:before="11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8017C6" w:rsidRPr="00432B52" w:rsidRDefault="003049EA" w:rsidP="008017C6">
            <w:pPr>
              <w:pStyle w:val="AralkYok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Destek</w:t>
            </w:r>
            <w:bookmarkStart w:id="0" w:name="_GoBack"/>
            <w:bookmarkEnd w:id="0"/>
            <w:r w:rsidR="008017C6" w:rsidRPr="00432B52">
              <w:rPr>
                <w:spacing w:val="-7"/>
                <w:sz w:val="20"/>
                <w:szCs w:val="20"/>
              </w:rPr>
              <w:t xml:space="preserve"> </w:t>
            </w:r>
            <w:r w:rsidR="008017C6" w:rsidRPr="00432B52">
              <w:rPr>
                <w:sz w:val="20"/>
                <w:szCs w:val="20"/>
              </w:rPr>
              <w:t>Hizmetler</w:t>
            </w:r>
          </w:p>
        </w:tc>
        <w:tc>
          <w:tcPr>
            <w:tcW w:w="2552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İdari ve Mali İşler Şube Müdürlüğü</w:t>
            </w:r>
          </w:p>
        </w:tc>
        <w:tc>
          <w:tcPr>
            <w:tcW w:w="1275" w:type="dxa"/>
            <w:vAlign w:val="center"/>
          </w:tcPr>
          <w:p w:rsidR="008017C6" w:rsidRPr="00432B52" w:rsidRDefault="008017C6" w:rsidP="008017C6">
            <w:pPr>
              <w:pStyle w:val="AralkYok"/>
              <w:jc w:val="center"/>
              <w:rPr>
                <w:sz w:val="20"/>
                <w:szCs w:val="20"/>
              </w:rPr>
            </w:pPr>
            <w:r w:rsidRPr="00432B52">
              <w:rPr>
                <w:sz w:val="20"/>
                <w:szCs w:val="20"/>
              </w:rPr>
              <w:t>Orta</w:t>
            </w:r>
          </w:p>
        </w:tc>
        <w:tc>
          <w:tcPr>
            <w:tcW w:w="5103" w:type="dxa"/>
          </w:tcPr>
          <w:p w:rsidR="008017C6" w:rsidRPr="00441311" w:rsidRDefault="008017C6" w:rsidP="008017C6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441311">
              <w:rPr>
                <w:sz w:val="20"/>
                <w:szCs w:val="20"/>
              </w:rPr>
              <w:t xml:space="preserve"> Personellere gerekli eğitimlerin verilmesi ve koruyucu </w:t>
            </w:r>
            <w:r w:rsidR="003049EA">
              <w:rPr>
                <w:sz w:val="20"/>
                <w:szCs w:val="20"/>
              </w:rPr>
              <w:t>ekipman kullanımının sağlanması.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3824" w:type="dxa"/>
          </w:tcPr>
          <w:p w:rsidR="008017C6" w:rsidRPr="00441311" w:rsidRDefault="008017C6" w:rsidP="008017C6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441311">
              <w:rPr>
                <w:sz w:val="20"/>
                <w:szCs w:val="20"/>
              </w:rPr>
              <w:t>Temizlik hizmetlerinin yetersiz yürütülmesi nedeniyle çalışma ortamının sağlıksız hale gelmesi,</w:t>
            </w:r>
          </w:p>
          <w:p w:rsidR="008017C6" w:rsidRPr="00432B52" w:rsidRDefault="008017C6" w:rsidP="008017C6">
            <w:pPr>
              <w:pStyle w:val="AralkYok"/>
              <w:rPr>
                <w:sz w:val="20"/>
                <w:szCs w:val="20"/>
              </w:rPr>
            </w:pPr>
            <w:r w:rsidRPr="00441311">
              <w:rPr>
                <w:sz w:val="20"/>
                <w:szCs w:val="20"/>
              </w:rPr>
              <w:t>-  İş sağlığı ve güvenliği kurallarına uyulmaması nedeniyle iş kazalarının meydana gelmesi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F93F03" w:rsidRDefault="00F93F03">
      <w:pPr>
        <w:pStyle w:val="TableParagraph"/>
        <w:rPr>
          <w:sz w:val="20"/>
        </w:rPr>
      </w:pPr>
    </w:p>
    <w:p w:rsidR="00BB07C5" w:rsidRDefault="00BB07C5">
      <w:pPr>
        <w:pStyle w:val="TableParagraph"/>
        <w:rPr>
          <w:sz w:val="20"/>
        </w:rPr>
      </w:pPr>
    </w:p>
    <w:tbl>
      <w:tblPr>
        <w:tblStyle w:val="TabloKlavuzu"/>
        <w:tblpPr w:leftFromText="141" w:rightFromText="141" w:vertAnchor="text" w:horzAnchor="margin" w:tblpY="308"/>
        <w:tblW w:w="1600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945"/>
        <w:gridCol w:w="5189"/>
        <w:gridCol w:w="4872"/>
      </w:tblGrid>
      <w:tr w:rsidR="00BB07C5" w:rsidTr="00BB07C5">
        <w:trPr>
          <w:trHeight w:val="330"/>
        </w:trPr>
        <w:tc>
          <w:tcPr>
            <w:tcW w:w="59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BB07C5" w:rsidRDefault="00BB07C5" w:rsidP="00BB07C5">
            <w:pPr>
              <w:pStyle w:val="AralkYok"/>
              <w:ind w:left="-42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Hazırlayan</w:t>
            </w:r>
          </w:p>
        </w:tc>
        <w:tc>
          <w:tcPr>
            <w:tcW w:w="51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BB07C5" w:rsidRDefault="00BB07C5" w:rsidP="00BB07C5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Kontrol Eden</w:t>
            </w:r>
          </w:p>
        </w:tc>
        <w:tc>
          <w:tcPr>
            <w:tcW w:w="48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BB07C5" w:rsidRDefault="00BB07C5" w:rsidP="00BB07C5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Onaylayan</w:t>
            </w:r>
          </w:p>
        </w:tc>
      </w:tr>
      <w:tr w:rsidR="00BB07C5" w:rsidTr="00BB07C5">
        <w:trPr>
          <w:trHeight w:val="1692"/>
        </w:trPr>
        <w:tc>
          <w:tcPr>
            <w:tcW w:w="59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B07C5" w:rsidRDefault="00BB07C5" w:rsidP="00BB07C5">
            <w:pPr>
              <w:pStyle w:val="AralkYok"/>
              <w:jc w:val="center"/>
              <w:rPr>
                <w:sz w:val="18"/>
                <w:szCs w:val="18"/>
              </w:rPr>
            </w:pPr>
          </w:p>
          <w:p w:rsidR="00BB07C5" w:rsidRDefault="00BB07C5" w:rsidP="00BB07C5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Didem ÇEBİ</w:t>
            </w:r>
          </w:p>
          <w:p w:rsidR="00BB07C5" w:rsidRDefault="00BB07C5" w:rsidP="00BB07C5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Bilgisayar İşlt.</w:t>
            </w:r>
          </w:p>
          <w:p w:rsidR="00BB07C5" w:rsidRDefault="00BB07C5" w:rsidP="00BB07C5">
            <w:pPr>
              <w:pStyle w:val="AralkYok"/>
              <w:jc w:val="center"/>
              <w:rPr>
                <w:sz w:val="18"/>
                <w:szCs w:val="18"/>
              </w:rPr>
            </w:pPr>
          </w:p>
          <w:p w:rsidR="00BB07C5" w:rsidRDefault="00BB07C5" w:rsidP="00BB07C5">
            <w:pPr>
              <w:pStyle w:val="AralkYok"/>
              <w:jc w:val="center"/>
              <w:rPr>
                <w:sz w:val="18"/>
                <w:szCs w:val="18"/>
              </w:rPr>
            </w:pPr>
          </w:p>
        </w:tc>
        <w:tc>
          <w:tcPr>
            <w:tcW w:w="51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BB07C5" w:rsidRDefault="00BB07C5" w:rsidP="00BB07C5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Sedat YAKUPOĞLU</w:t>
            </w:r>
          </w:p>
          <w:p w:rsidR="00BB07C5" w:rsidRDefault="00BB07C5" w:rsidP="00BB07C5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Şube Müdürü</w:t>
            </w:r>
          </w:p>
        </w:tc>
        <w:tc>
          <w:tcPr>
            <w:tcW w:w="48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BB07C5" w:rsidRDefault="00BB07C5" w:rsidP="00BB07C5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Yasin ÖZTEL</w:t>
            </w:r>
          </w:p>
          <w:p w:rsidR="00BB07C5" w:rsidRDefault="00BB07C5" w:rsidP="00BB07C5">
            <w:pPr>
              <w:pStyle w:val="AralkYok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Daire Başkanı</w:t>
            </w:r>
          </w:p>
        </w:tc>
      </w:tr>
    </w:tbl>
    <w:p w:rsidR="00BB07C5" w:rsidRPr="008017C6" w:rsidRDefault="00BB07C5" w:rsidP="008017C6">
      <w:pPr>
        <w:sectPr w:rsidR="00BB07C5" w:rsidRPr="008017C6" w:rsidSect="008017C6">
          <w:headerReference w:type="default" r:id="rId8"/>
          <w:footerReference w:type="default" r:id="rId9"/>
          <w:pgSz w:w="16840" w:h="11910" w:orient="landscape"/>
          <w:pgMar w:top="1882" w:right="567" w:bottom="567" w:left="425" w:header="113" w:footer="113" w:gutter="0"/>
          <w:cols w:space="708"/>
          <w:docGrid w:linePitch="299"/>
        </w:sectPr>
      </w:pPr>
    </w:p>
    <w:p w:rsidR="00BB6F2C" w:rsidRPr="00BB6F2C" w:rsidRDefault="00BB6F2C" w:rsidP="008017C6">
      <w:pPr>
        <w:pStyle w:val="GvdeMetni"/>
        <w:spacing w:before="2"/>
        <w:ind w:left="141"/>
      </w:pPr>
    </w:p>
    <w:sectPr w:rsidR="00BB6F2C" w:rsidRPr="00BB6F2C" w:rsidSect="008017C6">
      <w:headerReference w:type="default" r:id="rId10"/>
      <w:footerReference w:type="default" r:id="rId11"/>
      <w:pgSz w:w="16840" w:h="11910" w:orient="landscape"/>
      <w:pgMar w:top="1880" w:right="566" w:bottom="840" w:left="425" w:header="170" w:footer="51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314" w:rsidRDefault="00C72314">
      <w:r>
        <w:separator/>
      </w:r>
    </w:p>
  </w:endnote>
  <w:endnote w:type="continuationSeparator" w:id="0">
    <w:p w:rsidR="00C72314" w:rsidRDefault="00C72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3E0" w:rsidRDefault="00106BF0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012352" behindDoc="1" locked="0" layoutInCell="1" allowOverlap="1" wp14:anchorId="4CEF831B" wp14:editId="1B8590CE">
              <wp:simplePos x="0" y="0"/>
              <wp:positionH relativeFrom="page">
                <wp:posOffset>5456554</wp:posOffset>
              </wp:positionH>
              <wp:positionV relativeFrom="page">
                <wp:posOffset>7010676</wp:posOffset>
              </wp:positionV>
              <wp:extent cx="167005" cy="18224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13E0" w:rsidRDefault="00106BF0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3049EA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EF831B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429.65pt;margin-top:552pt;width:13.15pt;height:14.35pt;z-index:-1630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" filled="f" stroked="f">
              <v:path arrowok="t"/>
              <v:textbox inset="0,0,0,0">
                <w:txbxContent>
                  <w:p w:rsidR="006713E0" w:rsidRDefault="00106BF0">
                    <w:pPr>
                      <w:spacing w:before="13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3049EA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3E0" w:rsidRPr="00F93F03" w:rsidRDefault="006713E0" w:rsidP="00F93F0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314" w:rsidRDefault="00C72314">
      <w:r>
        <w:separator/>
      </w:r>
    </w:p>
  </w:footnote>
  <w:footnote w:type="continuationSeparator" w:id="0">
    <w:p w:rsidR="00C72314" w:rsidRDefault="00C72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3E0" w:rsidRDefault="00CF6D15" w:rsidP="00CF6D15">
    <w:pPr>
      <w:pStyle w:val="GvdeMetni"/>
      <w:spacing w:line="14" w:lineRule="auto"/>
      <w:jc w:val="right"/>
      <w:rPr>
        <w:sz w:val="20"/>
      </w:rPr>
    </w:pPr>
    <w:r>
      <w:rPr>
        <w:noProof/>
        <w:lang w:eastAsia="tr-TR"/>
      </w:rPr>
      <w:drawing>
        <wp:anchor distT="0" distB="0" distL="114300" distR="114300" simplePos="0" relativeHeight="487019008" behindDoc="0" locked="0" layoutInCell="1" allowOverlap="1" wp14:anchorId="733DEFF7" wp14:editId="2A2BBA76">
          <wp:simplePos x="0" y="0"/>
          <wp:positionH relativeFrom="page">
            <wp:posOffset>693420</wp:posOffset>
          </wp:positionH>
          <wp:positionV relativeFrom="page">
            <wp:posOffset>198175</wp:posOffset>
          </wp:positionV>
          <wp:extent cx="1285875" cy="647700"/>
          <wp:effectExtent l="0" t="0" r="0" b="0"/>
          <wp:wrapNone/>
          <wp:docPr id="26" name="Resi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inline distT="0" distB="0" distL="0" distR="0" wp14:anchorId="6A9D11B6" wp14:editId="26BD72F2">
          <wp:extent cx="4271065" cy="906449"/>
          <wp:effectExtent l="0" t="0" r="0" b="8255"/>
          <wp:docPr id="27" name="Resi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70945C.tmp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3208" cy="9090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3E0" w:rsidRDefault="006713E0">
    <w:pPr>
      <w:pStyle w:val="GvdeMetni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E13FE"/>
    <w:multiLevelType w:val="hybridMultilevel"/>
    <w:tmpl w:val="6A2A64CA"/>
    <w:lvl w:ilvl="0" w:tplc="0A28EC22">
      <w:start w:val="1"/>
      <w:numFmt w:val="decimal"/>
      <w:lvlText w:val="%1-"/>
      <w:lvlJc w:val="left"/>
      <w:pPr>
        <w:ind w:left="82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1" w:tplc="9C8ADDE6">
      <w:numFmt w:val="bullet"/>
      <w:lvlText w:val="•"/>
      <w:lvlJc w:val="left"/>
      <w:pPr>
        <w:ind w:left="1116" w:hanging="360"/>
      </w:pPr>
      <w:rPr>
        <w:rFonts w:hint="default"/>
        <w:lang w:val="tr-TR" w:eastAsia="en-US" w:bidi="ar-SA"/>
      </w:rPr>
    </w:lvl>
    <w:lvl w:ilvl="2" w:tplc="54FCAD52">
      <w:numFmt w:val="bullet"/>
      <w:lvlText w:val="•"/>
      <w:lvlJc w:val="left"/>
      <w:pPr>
        <w:ind w:left="1413" w:hanging="360"/>
      </w:pPr>
      <w:rPr>
        <w:rFonts w:hint="default"/>
        <w:lang w:val="tr-TR" w:eastAsia="en-US" w:bidi="ar-SA"/>
      </w:rPr>
    </w:lvl>
    <w:lvl w:ilvl="3" w:tplc="9244D46E">
      <w:numFmt w:val="bullet"/>
      <w:lvlText w:val="•"/>
      <w:lvlJc w:val="left"/>
      <w:pPr>
        <w:ind w:left="1709" w:hanging="360"/>
      </w:pPr>
      <w:rPr>
        <w:rFonts w:hint="default"/>
        <w:lang w:val="tr-TR" w:eastAsia="en-US" w:bidi="ar-SA"/>
      </w:rPr>
    </w:lvl>
    <w:lvl w:ilvl="4" w:tplc="18CEE00E">
      <w:numFmt w:val="bullet"/>
      <w:lvlText w:val="•"/>
      <w:lvlJc w:val="left"/>
      <w:pPr>
        <w:ind w:left="2006" w:hanging="360"/>
      </w:pPr>
      <w:rPr>
        <w:rFonts w:hint="default"/>
        <w:lang w:val="tr-TR" w:eastAsia="en-US" w:bidi="ar-SA"/>
      </w:rPr>
    </w:lvl>
    <w:lvl w:ilvl="5" w:tplc="31D4FB02">
      <w:numFmt w:val="bullet"/>
      <w:lvlText w:val="•"/>
      <w:lvlJc w:val="left"/>
      <w:pPr>
        <w:ind w:left="2303" w:hanging="360"/>
      </w:pPr>
      <w:rPr>
        <w:rFonts w:hint="default"/>
        <w:lang w:val="tr-TR" w:eastAsia="en-US" w:bidi="ar-SA"/>
      </w:rPr>
    </w:lvl>
    <w:lvl w:ilvl="6" w:tplc="24E4B946">
      <w:numFmt w:val="bullet"/>
      <w:lvlText w:val="•"/>
      <w:lvlJc w:val="left"/>
      <w:pPr>
        <w:ind w:left="2599" w:hanging="360"/>
      </w:pPr>
      <w:rPr>
        <w:rFonts w:hint="default"/>
        <w:lang w:val="tr-TR" w:eastAsia="en-US" w:bidi="ar-SA"/>
      </w:rPr>
    </w:lvl>
    <w:lvl w:ilvl="7" w:tplc="47CE29C8">
      <w:numFmt w:val="bullet"/>
      <w:lvlText w:val="•"/>
      <w:lvlJc w:val="left"/>
      <w:pPr>
        <w:ind w:left="2896" w:hanging="360"/>
      </w:pPr>
      <w:rPr>
        <w:rFonts w:hint="default"/>
        <w:lang w:val="tr-TR" w:eastAsia="en-US" w:bidi="ar-SA"/>
      </w:rPr>
    </w:lvl>
    <w:lvl w:ilvl="8" w:tplc="3F02A1D4">
      <w:numFmt w:val="bullet"/>
      <w:lvlText w:val="•"/>
      <w:lvlJc w:val="left"/>
      <w:pPr>
        <w:ind w:left="3192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637D7B4A"/>
    <w:multiLevelType w:val="hybridMultilevel"/>
    <w:tmpl w:val="0CFEB910"/>
    <w:lvl w:ilvl="0" w:tplc="352407BC">
      <w:start w:val="1"/>
      <w:numFmt w:val="decimal"/>
      <w:lvlText w:val="%1-"/>
      <w:lvlJc w:val="left"/>
      <w:pPr>
        <w:ind w:left="82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1" w:tplc="375C35FC">
      <w:numFmt w:val="bullet"/>
      <w:lvlText w:val="•"/>
      <w:lvlJc w:val="left"/>
      <w:pPr>
        <w:ind w:left="1090" w:hanging="360"/>
      </w:pPr>
      <w:rPr>
        <w:rFonts w:hint="default"/>
        <w:lang w:val="tr-TR" w:eastAsia="en-US" w:bidi="ar-SA"/>
      </w:rPr>
    </w:lvl>
    <w:lvl w:ilvl="2" w:tplc="93105544">
      <w:numFmt w:val="bullet"/>
      <w:lvlText w:val="•"/>
      <w:lvlJc w:val="left"/>
      <w:pPr>
        <w:ind w:left="1361" w:hanging="360"/>
      </w:pPr>
      <w:rPr>
        <w:rFonts w:hint="default"/>
        <w:lang w:val="tr-TR" w:eastAsia="en-US" w:bidi="ar-SA"/>
      </w:rPr>
    </w:lvl>
    <w:lvl w:ilvl="3" w:tplc="AB3E0BBE">
      <w:numFmt w:val="bullet"/>
      <w:lvlText w:val="•"/>
      <w:lvlJc w:val="left"/>
      <w:pPr>
        <w:ind w:left="1632" w:hanging="360"/>
      </w:pPr>
      <w:rPr>
        <w:rFonts w:hint="default"/>
        <w:lang w:val="tr-TR" w:eastAsia="en-US" w:bidi="ar-SA"/>
      </w:rPr>
    </w:lvl>
    <w:lvl w:ilvl="4" w:tplc="B4D2586E">
      <w:numFmt w:val="bullet"/>
      <w:lvlText w:val="•"/>
      <w:lvlJc w:val="left"/>
      <w:pPr>
        <w:ind w:left="1903" w:hanging="360"/>
      </w:pPr>
      <w:rPr>
        <w:rFonts w:hint="default"/>
        <w:lang w:val="tr-TR" w:eastAsia="en-US" w:bidi="ar-SA"/>
      </w:rPr>
    </w:lvl>
    <w:lvl w:ilvl="5" w:tplc="F590476A">
      <w:numFmt w:val="bullet"/>
      <w:lvlText w:val="•"/>
      <w:lvlJc w:val="left"/>
      <w:pPr>
        <w:ind w:left="2174" w:hanging="360"/>
      </w:pPr>
      <w:rPr>
        <w:rFonts w:hint="default"/>
        <w:lang w:val="tr-TR" w:eastAsia="en-US" w:bidi="ar-SA"/>
      </w:rPr>
    </w:lvl>
    <w:lvl w:ilvl="6" w:tplc="17C078CC">
      <w:numFmt w:val="bullet"/>
      <w:lvlText w:val="•"/>
      <w:lvlJc w:val="left"/>
      <w:pPr>
        <w:ind w:left="2445" w:hanging="360"/>
      </w:pPr>
      <w:rPr>
        <w:rFonts w:hint="default"/>
        <w:lang w:val="tr-TR" w:eastAsia="en-US" w:bidi="ar-SA"/>
      </w:rPr>
    </w:lvl>
    <w:lvl w:ilvl="7" w:tplc="B1408AC0">
      <w:numFmt w:val="bullet"/>
      <w:lvlText w:val="•"/>
      <w:lvlJc w:val="left"/>
      <w:pPr>
        <w:ind w:left="2716" w:hanging="360"/>
      </w:pPr>
      <w:rPr>
        <w:rFonts w:hint="default"/>
        <w:lang w:val="tr-TR" w:eastAsia="en-US" w:bidi="ar-SA"/>
      </w:rPr>
    </w:lvl>
    <w:lvl w:ilvl="8" w:tplc="4ABA2474">
      <w:numFmt w:val="bullet"/>
      <w:lvlText w:val="•"/>
      <w:lvlJc w:val="left"/>
      <w:pPr>
        <w:ind w:left="298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68DA3438"/>
    <w:multiLevelType w:val="hybridMultilevel"/>
    <w:tmpl w:val="EDAA4C42"/>
    <w:lvl w:ilvl="0" w:tplc="E46EE09E">
      <w:start w:val="1"/>
      <w:numFmt w:val="decimal"/>
      <w:lvlText w:val="%1-"/>
      <w:lvlJc w:val="left"/>
      <w:pPr>
        <w:ind w:left="82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tr-TR" w:eastAsia="en-US" w:bidi="ar-SA"/>
      </w:rPr>
    </w:lvl>
    <w:lvl w:ilvl="1" w:tplc="A30C8C1A">
      <w:numFmt w:val="bullet"/>
      <w:lvlText w:val="•"/>
      <w:lvlJc w:val="left"/>
      <w:pPr>
        <w:ind w:left="1090" w:hanging="360"/>
      </w:pPr>
      <w:rPr>
        <w:rFonts w:hint="default"/>
        <w:lang w:val="tr-TR" w:eastAsia="en-US" w:bidi="ar-SA"/>
      </w:rPr>
    </w:lvl>
    <w:lvl w:ilvl="2" w:tplc="5DAE4AD6">
      <w:numFmt w:val="bullet"/>
      <w:lvlText w:val="•"/>
      <w:lvlJc w:val="left"/>
      <w:pPr>
        <w:ind w:left="1361" w:hanging="360"/>
      </w:pPr>
      <w:rPr>
        <w:rFonts w:hint="default"/>
        <w:lang w:val="tr-TR" w:eastAsia="en-US" w:bidi="ar-SA"/>
      </w:rPr>
    </w:lvl>
    <w:lvl w:ilvl="3" w:tplc="78D293E0">
      <w:numFmt w:val="bullet"/>
      <w:lvlText w:val="•"/>
      <w:lvlJc w:val="left"/>
      <w:pPr>
        <w:ind w:left="1632" w:hanging="360"/>
      </w:pPr>
      <w:rPr>
        <w:rFonts w:hint="default"/>
        <w:lang w:val="tr-TR" w:eastAsia="en-US" w:bidi="ar-SA"/>
      </w:rPr>
    </w:lvl>
    <w:lvl w:ilvl="4" w:tplc="8752C006">
      <w:numFmt w:val="bullet"/>
      <w:lvlText w:val="•"/>
      <w:lvlJc w:val="left"/>
      <w:pPr>
        <w:ind w:left="1903" w:hanging="360"/>
      </w:pPr>
      <w:rPr>
        <w:rFonts w:hint="default"/>
        <w:lang w:val="tr-TR" w:eastAsia="en-US" w:bidi="ar-SA"/>
      </w:rPr>
    </w:lvl>
    <w:lvl w:ilvl="5" w:tplc="512EC080">
      <w:numFmt w:val="bullet"/>
      <w:lvlText w:val="•"/>
      <w:lvlJc w:val="left"/>
      <w:pPr>
        <w:ind w:left="2174" w:hanging="360"/>
      </w:pPr>
      <w:rPr>
        <w:rFonts w:hint="default"/>
        <w:lang w:val="tr-TR" w:eastAsia="en-US" w:bidi="ar-SA"/>
      </w:rPr>
    </w:lvl>
    <w:lvl w:ilvl="6" w:tplc="7C6A632A">
      <w:numFmt w:val="bullet"/>
      <w:lvlText w:val="•"/>
      <w:lvlJc w:val="left"/>
      <w:pPr>
        <w:ind w:left="2445" w:hanging="360"/>
      </w:pPr>
      <w:rPr>
        <w:rFonts w:hint="default"/>
        <w:lang w:val="tr-TR" w:eastAsia="en-US" w:bidi="ar-SA"/>
      </w:rPr>
    </w:lvl>
    <w:lvl w:ilvl="7" w:tplc="A9B4F12E">
      <w:numFmt w:val="bullet"/>
      <w:lvlText w:val="•"/>
      <w:lvlJc w:val="left"/>
      <w:pPr>
        <w:ind w:left="2716" w:hanging="360"/>
      </w:pPr>
      <w:rPr>
        <w:rFonts w:hint="default"/>
        <w:lang w:val="tr-TR" w:eastAsia="en-US" w:bidi="ar-SA"/>
      </w:rPr>
    </w:lvl>
    <w:lvl w:ilvl="8" w:tplc="1C24DD3C">
      <w:numFmt w:val="bullet"/>
      <w:lvlText w:val="•"/>
      <w:lvlJc w:val="left"/>
      <w:pPr>
        <w:ind w:left="2987" w:hanging="360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713E0"/>
    <w:rsid w:val="000958FE"/>
    <w:rsid w:val="00106BF0"/>
    <w:rsid w:val="00132A59"/>
    <w:rsid w:val="00287CF4"/>
    <w:rsid w:val="002D6A28"/>
    <w:rsid w:val="003049EA"/>
    <w:rsid w:val="003137A2"/>
    <w:rsid w:val="003508BD"/>
    <w:rsid w:val="00407B61"/>
    <w:rsid w:val="00432B52"/>
    <w:rsid w:val="00441311"/>
    <w:rsid w:val="005156FB"/>
    <w:rsid w:val="00616F62"/>
    <w:rsid w:val="006713E0"/>
    <w:rsid w:val="00672548"/>
    <w:rsid w:val="006750E6"/>
    <w:rsid w:val="006B6595"/>
    <w:rsid w:val="007155DF"/>
    <w:rsid w:val="007C718A"/>
    <w:rsid w:val="007E23E1"/>
    <w:rsid w:val="008017C6"/>
    <w:rsid w:val="00805CB6"/>
    <w:rsid w:val="00904EE2"/>
    <w:rsid w:val="00916F96"/>
    <w:rsid w:val="00934B59"/>
    <w:rsid w:val="00A66F05"/>
    <w:rsid w:val="00A9318A"/>
    <w:rsid w:val="00AC04F4"/>
    <w:rsid w:val="00BB07C5"/>
    <w:rsid w:val="00BB6F2C"/>
    <w:rsid w:val="00C53397"/>
    <w:rsid w:val="00C72314"/>
    <w:rsid w:val="00C74F24"/>
    <w:rsid w:val="00CF515C"/>
    <w:rsid w:val="00CF6D15"/>
    <w:rsid w:val="00D755B5"/>
    <w:rsid w:val="00D8387A"/>
    <w:rsid w:val="00E14BEF"/>
    <w:rsid w:val="00E417C0"/>
    <w:rsid w:val="00ED26D5"/>
    <w:rsid w:val="00ED2A2D"/>
    <w:rsid w:val="00EF0F12"/>
    <w:rsid w:val="00F22C5F"/>
    <w:rsid w:val="00F9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D559493"/>
  <w15:docId w15:val="{152ECA1D-460D-4148-982D-BE70B3A8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E14BE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14BEF"/>
    <w:rPr>
      <w:rFonts w:ascii="Arial" w:eastAsia="Arial" w:hAnsi="Arial" w:cs="Arial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14B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14BEF"/>
    <w:rPr>
      <w:rFonts w:ascii="Arial" w:eastAsia="Arial" w:hAnsi="Arial" w:cs="Arial"/>
      <w:lang w:val="tr-TR"/>
    </w:rPr>
  </w:style>
  <w:style w:type="paragraph" w:styleId="AralkYok">
    <w:name w:val="No Spacing"/>
    <w:uiPriority w:val="1"/>
    <w:qFormat/>
    <w:rsid w:val="00EF0F12"/>
    <w:rPr>
      <w:rFonts w:ascii="Arial" w:eastAsia="Arial" w:hAnsi="Arial" w:cs="Arial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F6D1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6D15"/>
    <w:rPr>
      <w:rFonts w:ascii="Tahoma" w:eastAsia="Arial" w:hAnsi="Tahoma" w:cs="Tahoma"/>
      <w:sz w:val="16"/>
      <w:szCs w:val="16"/>
      <w:lang w:val="tr-TR"/>
    </w:rPr>
  </w:style>
  <w:style w:type="table" w:styleId="TabloKlavuzu">
    <w:name w:val="Table Grid"/>
    <w:basedOn w:val="NormalTablo"/>
    <w:uiPriority w:val="39"/>
    <w:rsid w:val="00BB07C5"/>
    <w:pPr>
      <w:widowControl/>
      <w:autoSpaceDE/>
      <w:autoSpaceDN/>
    </w:pPr>
    <w:rPr>
      <w:lang w:val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5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m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F6771-39C7-4FBF-B025-DAD3E3EAC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HP</cp:lastModifiedBy>
  <cp:revision>13</cp:revision>
  <dcterms:created xsi:type="dcterms:W3CDTF">2026-06-09T06:58:00Z</dcterms:created>
  <dcterms:modified xsi:type="dcterms:W3CDTF">2026-06-15T13:21:00Z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2026-05-22T00:00:00Z</vt:filetime>
  </property>
  <property fmtid="{D5CDD505-2E9C-101B-9397-08002B2CF9AE}" pid="5" name="Producer">
    <vt:lpwstr>3-Heights(TM) PDF Security Shell 4.8.25.2 (http://www.pdf-tools.com)</vt:lpwstr>
  </property>
</Properties>
</file>