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417"/>
        <w:gridCol w:w="1431"/>
        <w:gridCol w:w="1669"/>
        <w:gridCol w:w="3119"/>
      </w:tblGrid>
      <w:tr w:rsidR="00AE5977" w:rsidRPr="00992E25" w:rsidTr="00A95311">
        <w:trPr>
          <w:trHeight w:val="967"/>
        </w:trPr>
        <w:tc>
          <w:tcPr>
            <w:tcW w:w="2537" w:type="dxa"/>
            <w:vMerge w:val="restart"/>
          </w:tcPr>
          <w:p w:rsidR="00AE5977" w:rsidRPr="00992E25" w:rsidRDefault="00AE5977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2EFA759" wp14:editId="1EF3DC5F">
                  <wp:extent cx="1504950" cy="923925"/>
                  <wp:effectExtent l="0" t="0" r="0" b="9525"/>
                  <wp:docPr id="63" name="Resim 6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  <w:gridSpan w:val="3"/>
            <w:vAlign w:val="center"/>
          </w:tcPr>
          <w:p w:rsidR="00AE5977" w:rsidRPr="007746E4" w:rsidRDefault="00BC7D1F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3119" w:type="dxa"/>
            <w:vMerge w:val="restart"/>
          </w:tcPr>
          <w:p w:rsidR="00A95311" w:rsidRPr="00992E25" w:rsidRDefault="00A95311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3E25E152" wp14:editId="4E41D6A9">
                  <wp:extent cx="1939216" cy="866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6" cy="869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977" w:rsidRPr="00992E25" w:rsidTr="00A95311">
        <w:trPr>
          <w:trHeight w:val="681"/>
        </w:trPr>
        <w:tc>
          <w:tcPr>
            <w:tcW w:w="2537" w:type="dxa"/>
            <w:vMerge/>
          </w:tcPr>
          <w:p w:rsidR="00AE5977" w:rsidRPr="00992E25" w:rsidRDefault="00AE5977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AE5977" w:rsidRPr="007746E4" w:rsidRDefault="00AE5977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BİRİM GÖREV TANIM FORMU</w:t>
            </w:r>
          </w:p>
        </w:tc>
        <w:tc>
          <w:tcPr>
            <w:tcW w:w="3119" w:type="dxa"/>
            <w:vMerge/>
          </w:tcPr>
          <w:p w:rsidR="00AE5977" w:rsidRPr="00992E25" w:rsidRDefault="00AE5977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AE5977" w:rsidRPr="00992E25" w:rsidTr="00A95311">
        <w:trPr>
          <w:trHeight w:val="385"/>
        </w:trPr>
        <w:tc>
          <w:tcPr>
            <w:tcW w:w="2537" w:type="dxa"/>
            <w:vAlign w:val="center"/>
          </w:tcPr>
          <w:p w:rsidR="00AE5977" w:rsidRPr="00C1592E" w:rsidRDefault="00AE5977" w:rsidP="00C1592E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C1592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="00C1592E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="00C1592E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FR.B</w:t>
            </w:r>
            <w:proofErr w:type="gramEnd"/>
            <w:r w:rsidR="00C1592E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.GR.02</w:t>
            </w:r>
          </w:p>
        </w:tc>
        <w:tc>
          <w:tcPr>
            <w:tcW w:w="1417" w:type="dxa"/>
            <w:vAlign w:val="center"/>
          </w:tcPr>
          <w:p w:rsidR="00C1592E" w:rsidRDefault="00AE5977" w:rsidP="00C1592E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C1592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</w:p>
          <w:p w:rsidR="00AE5977" w:rsidRPr="00C1592E" w:rsidRDefault="00135750" w:rsidP="00C1592E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r w:rsidR="00C1592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1431" w:type="dxa"/>
            <w:vAlign w:val="center"/>
          </w:tcPr>
          <w:p w:rsidR="00AE5977" w:rsidRPr="00C1592E" w:rsidRDefault="00AE5977" w:rsidP="00C1592E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C1592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  <w:r w:rsidR="00D27A2D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69" w:type="dxa"/>
            <w:vAlign w:val="center"/>
          </w:tcPr>
          <w:p w:rsidR="00AE5977" w:rsidRPr="00C1592E" w:rsidRDefault="00AE5977" w:rsidP="00D27A2D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C1592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C1592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  <w:r w:rsidR="00D27A2D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01.12.2023</w:t>
            </w:r>
          </w:p>
        </w:tc>
        <w:tc>
          <w:tcPr>
            <w:tcW w:w="3119" w:type="dxa"/>
            <w:vAlign w:val="center"/>
          </w:tcPr>
          <w:p w:rsidR="00AE5977" w:rsidRPr="00C1592E" w:rsidRDefault="00C1592E" w:rsidP="00C1592E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02</w:t>
            </w:r>
          </w:p>
        </w:tc>
      </w:tr>
      <w:tr w:rsidR="00AE5977" w:rsidRPr="00992E25" w:rsidTr="00A95311">
        <w:trPr>
          <w:trHeight w:val="552"/>
        </w:trPr>
        <w:tc>
          <w:tcPr>
            <w:tcW w:w="2537" w:type="dxa"/>
            <w:vAlign w:val="center"/>
          </w:tcPr>
          <w:p w:rsidR="00AE5977" w:rsidRPr="003522CC" w:rsidRDefault="00AE5977" w:rsidP="004420F2">
            <w:pP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3522CC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Birim Adı</w:t>
            </w:r>
          </w:p>
        </w:tc>
        <w:tc>
          <w:tcPr>
            <w:tcW w:w="7636" w:type="dxa"/>
            <w:gridSpan w:val="4"/>
            <w:vAlign w:val="center"/>
          </w:tcPr>
          <w:p w:rsidR="00AE5977" w:rsidRDefault="00A82D71" w:rsidP="00A82D71">
            <w:pPr>
              <w:spacing w:after="0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İÇ KONTROL VE KALİTE KOMİSYONU</w:t>
            </w:r>
          </w:p>
        </w:tc>
      </w:tr>
      <w:tr w:rsidR="00AE5977" w:rsidRPr="00992E25" w:rsidTr="00A95311">
        <w:trPr>
          <w:trHeight w:val="552"/>
        </w:trPr>
        <w:tc>
          <w:tcPr>
            <w:tcW w:w="2537" w:type="dxa"/>
            <w:vAlign w:val="center"/>
          </w:tcPr>
          <w:p w:rsidR="00AE5977" w:rsidRPr="003522CC" w:rsidRDefault="00AE5977" w:rsidP="004420F2">
            <w:pP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Alt Birim Adı</w:t>
            </w:r>
          </w:p>
        </w:tc>
        <w:tc>
          <w:tcPr>
            <w:tcW w:w="7636" w:type="dxa"/>
            <w:gridSpan w:val="4"/>
            <w:vAlign w:val="center"/>
          </w:tcPr>
          <w:p w:rsidR="00AE5977" w:rsidRDefault="00AE5977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</w:p>
        </w:tc>
      </w:tr>
      <w:tr w:rsidR="00AE5977" w:rsidRPr="00992E25" w:rsidTr="008D6CD1">
        <w:trPr>
          <w:trHeight w:val="567"/>
        </w:trPr>
        <w:tc>
          <w:tcPr>
            <w:tcW w:w="2537" w:type="dxa"/>
            <w:vAlign w:val="center"/>
          </w:tcPr>
          <w:p w:rsidR="00AE5977" w:rsidRPr="003522CC" w:rsidRDefault="00AE5977" w:rsidP="004420F2">
            <w:pP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Görev Amacı</w:t>
            </w:r>
          </w:p>
        </w:tc>
        <w:tc>
          <w:tcPr>
            <w:tcW w:w="7636" w:type="dxa"/>
            <w:gridSpan w:val="4"/>
            <w:vAlign w:val="center"/>
          </w:tcPr>
          <w:p w:rsidR="00AE5977" w:rsidRPr="008D6CD1" w:rsidRDefault="004401FA" w:rsidP="00F72B7D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CD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Birim iç kontrol ve kalite çalışmalarını koordine etmek</w:t>
            </w:r>
          </w:p>
        </w:tc>
      </w:tr>
      <w:tr w:rsidR="00AE5977" w:rsidRPr="00992E25" w:rsidTr="00C1592E">
        <w:trPr>
          <w:trHeight w:val="396"/>
        </w:trPr>
        <w:tc>
          <w:tcPr>
            <w:tcW w:w="2537" w:type="dxa"/>
            <w:vAlign w:val="center"/>
          </w:tcPr>
          <w:p w:rsidR="00AE5977" w:rsidRPr="003522CC" w:rsidRDefault="00AE5977" w:rsidP="004420F2">
            <w:pP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Temel İş ve Sorumluluklar</w:t>
            </w:r>
          </w:p>
        </w:tc>
        <w:tc>
          <w:tcPr>
            <w:tcW w:w="7636" w:type="dxa"/>
            <w:gridSpan w:val="4"/>
            <w:vAlign w:val="center"/>
          </w:tcPr>
          <w:p w:rsidR="00AE5977" w:rsidRDefault="00234C5D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1. </w:t>
            </w:r>
            <w:r w:rsidR="005338E3" w:rsidRPr="005338E3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Üniversitemiz stratejik planı ve hedefleri doğrultusunda, birimlerin eğitim öğretim ve araştırma faaliyetleri ile idari-yönetim hizmetlerinin değerlendirilmesi ve kalitesinin geliştirilmesine yönelik iç ve dış kalite güvencesine uygun olarak </w:t>
            </w:r>
            <w:proofErr w:type="spellStart"/>
            <w:r w:rsidR="005338E3" w:rsidRPr="005338E3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birimsel</w:t>
            </w:r>
            <w:proofErr w:type="spellEnd"/>
            <w:r w:rsidR="005338E3" w:rsidRPr="005338E3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göstergeleri belirlemek, bu kapsamda yapılan ve yapılacak çalışmaları Üniversitemiz Kalite Komisyonu tarafından belirlenen esaslar doğrultusunda yürütmek ve bu çalışmaları içeren rapor/bilgi/belge Üniver</w:t>
            </w: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site Kalite Komisyonu’na sunmak.</w:t>
            </w:r>
            <w:proofErr w:type="gramEnd"/>
          </w:p>
          <w:p w:rsidR="005338E3" w:rsidRPr="00FA3D4B" w:rsidRDefault="004678A7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2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. </w:t>
            </w:r>
            <w:r w:rsidR="005338E3" w:rsidRPr="00FA3D4B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Üniversitenin kalite güvence sisteminin birimde işleyişini gözetmek, Birim göstergelerini tespit etmek ve bu kapsamda yapılacak çalışmaları Üniversite Kalite Komisyonu tarafından, belirlenen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esaslar doğrultusunda yürütmek.</w:t>
            </w:r>
          </w:p>
          <w:p w:rsidR="005338E3" w:rsidRPr="00E22BD7" w:rsidRDefault="00234C5D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3. </w:t>
            </w:r>
            <w:r w:rsidR="005338E3" w:rsidRPr="00FA3D4B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Üniversite Kalite Komisyonu tarafından Senatonun onayına sunulan çalışmaların, Birim faaliyetl</w:t>
            </w: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erine uygulanmasını takip etmek.</w:t>
            </w:r>
          </w:p>
          <w:p w:rsidR="00E22BD7" w:rsidRDefault="00234C5D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4.</w:t>
            </w:r>
            <w:r w:rsidR="00E22BD7" w:rsidRPr="00E22BD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Birim İç Değerlendirme Raporunu Hazırlamak</w:t>
            </w: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.</w:t>
            </w:r>
          </w:p>
          <w:p w:rsidR="008C158F" w:rsidRDefault="00234C5D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5.</w:t>
            </w:r>
            <w:r w:rsidR="00DD14D0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Kalite güvence sistemi kapsamında geri bildir</w:t>
            </w:r>
            <w:r w:rsidR="004678A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imlerin (bize yazın</w:t>
            </w:r>
            <w:r w:rsidR="00F91B1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vb.</w:t>
            </w:r>
            <w:r w:rsidR="004678A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) almak</w:t>
            </w:r>
            <w:r w:rsidR="00EF57E6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, </w:t>
            </w:r>
            <w:r w:rsidR="004678A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analizlerini yaparak, sonuçlarını raporlamak.</w:t>
            </w:r>
          </w:p>
          <w:p w:rsidR="00E7754E" w:rsidRDefault="00E7754E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6.</w:t>
            </w:r>
            <w:r w:rsidR="00CD1C9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Kalite komisyonu tüm birim personeli ile yılda en az iki kez olmak üzere gerekli bilgilendirme ve paylaşım toplantısı yapar.</w:t>
            </w:r>
          </w:p>
          <w:p w:rsidR="00EF57E6" w:rsidRDefault="00E7754E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7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.</w:t>
            </w:r>
            <w:r w:rsidR="00EF57E6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</w:t>
            </w:r>
            <w:r w:rsidR="007F4D46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Başkanlığımız</w:t>
            </w:r>
            <w:r w:rsidR="00EF57E6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iç kontrol sisteminin kurulması, standartlarının uygulanması ve geliştirilmes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i konularında çalışmalar yapmak.</w:t>
            </w:r>
            <w:r w:rsidR="00EF57E6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</w:t>
            </w:r>
          </w:p>
          <w:p w:rsidR="00F67493" w:rsidRDefault="00E7754E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8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.</w:t>
            </w:r>
            <w:r w:rsidR="00F67493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Başkanlığımız iç kontrol faaliyetlerini koordine etmek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.</w:t>
            </w:r>
          </w:p>
          <w:p w:rsidR="00F67493" w:rsidRDefault="00E7754E" w:rsidP="00C1592E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9.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</w:t>
            </w:r>
            <w:r w:rsidR="00F67493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İç kontrol çalışmalarına tüm personeli </w:t>
            </w:r>
            <w:proofErr w:type="gramStart"/>
            <w:r w:rsidR="00F67493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dahil</w:t>
            </w:r>
            <w:proofErr w:type="gramEnd"/>
            <w:r w:rsidR="00F67493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etmek, her bir personelin görev tanımı çerçevesinde kendisine verilen iş ve işlemleri etkin ve verimli bir şekilde mevzuata uygun olarak yürütmesini sağlamak.</w:t>
            </w:r>
          </w:p>
          <w:p w:rsidR="00E7754E" w:rsidRDefault="00E7754E" w:rsidP="00234C5D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10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. </w:t>
            </w:r>
            <w:r w:rsidR="00F74F08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Birim hedeflerini etkileyebilecek riskleri tespit ederek, kontrol yöntemine karar vermek, idare risk koordinatörüne raporlamak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.</w:t>
            </w:r>
          </w:p>
          <w:p w:rsidR="005338E3" w:rsidRDefault="00E7754E" w:rsidP="00234C5D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11</w:t>
            </w:r>
            <w:r w:rsidR="00234C5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. </w:t>
            </w:r>
            <w:r w:rsidR="004401FA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İç ve Dış denetim sonucunda düzenlenen raporları da dikkate alarak mevcut iç kontrol sisteminin işleyişini her yıl periyodik olarak değerlendirmek.</w:t>
            </w:r>
          </w:p>
          <w:p w:rsidR="008C158F" w:rsidRDefault="003A19FB" w:rsidP="00234C5D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i/>
                <w:color w:val="002060"/>
                <w:lang w:eastAsia="tr-TR"/>
              </w:rPr>
              <w:t xml:space="preserve">Kalite </w:t>
            </w:r>
            <w:r w:rsidR="008C158F" w:rsidRPr="0049491C">
              <w:rPr>
                <w:rFonts w:ascii="Hurme Geometric Sans 1" w:eastAsia="Times New Roman" w:hAnsi="Hurme Geometric Sans 1" w:cs="Times New Roman"/>
                <w:b/>
                <w:i/>
                <w:color w:val="002060"/>
                <w:lang w:eastAsia="tr-TR"/>
              </w:rPr>
              <w:t>Komisyon</w:t>
            </w:r>
            <w:r>
              <w:rPr>
                <w:rFonts w:ascii="Hurme Geometric Sans 1" w:eastAsia="Times New Roman" w:hAnsi="Hurme Geometric Sans 1" w:cs="Times New Roman"/>
                <w:b/>
                <w:i/>
                <w:color w:val="002060"/>
                <w:lang w:eastAsia="tr-TR"/>
              </w:rPr>
              <w:t>u</w:t>
            </w:r>
            <w:r w:rsidR="008C158F" w:rsidRPr="0049491C">
              <w:rPr>
                <w:rFonts w:ascii="Hurme Geometric Sans 1" w:eastAsia="Times New Roman" w:hAnsi="Hurme Geometric Sans 1" w:cs="Times New Roman"/>
                <w:b/>
                <w:i/>
                <w:color w:val="002060"/>
                <w:lang w:eastAsia="tr-TR"/>
              </w:rPr>
              <w:t xml:space="preserve"> Toplantıları:</w:t>
            </w:r>
            <w:r w:rsidR="008C158F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Komisyon iki ayda bir</w:t>
            </w:r>
            <w:r w:rsidR="0049491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 ayın son haftası</w:t>
            </w:r>
            <w:r w:rsidR="008C158F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toplanır. </w:t>
            </w:r>
            <w:r w:rsidR="00E7754E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Yıllık toplantı takvimi Kalite Güvence Sistemi Takviminde ilan edilir.</w:t>
            </w:r>
            <w:bookmarkStart w:id="0" w:name="_GoBack"/>
            <w:bookmarkEnd w:id="0"/>
            <w:r w:rsidR="00E7754E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</w:t>
            </w:r>
            <w:r w:rsidR="008C158F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</w:t>
            </w:r>
            <w:r w:rsidR="00E7754E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oplantılar</w:t>
            </w:r>
            <w:r w:rsidR="008C158F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a Daire Başkanı başkanlık eder. </w:t>
            </w:r>
            <w:r w:rsidR="00CD1C9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Gerekli olması halinde toplantıya komisyon dışından personel katılabilir.</w:t>
            </w:r>
            <w:r w:rsidR="0054039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Komisyon başkanı toplantı sonucu alınan kararların sorumlularınca uygulanmasını izler.</w:t>
            </w:r>
          </w:p>
          <w:p w:rsidR="008C158F" w:rsidRPr="005338E3" w:rsidRDefault="008C158F" w:rsidP="00234C5D">
            <w:pPr>
              <w:spacing w:after="0"/>
              <w:jc w:val="both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  <w:tr w:rsidR="00AE5977" w:rsidRPr="00992E25" w:rsidTr="004401FA">
        <w:trPr>
          <w:trHeight w:val="840"/>
        </w:trPr>
        <w:tc>
          <w:tcPr>
            <w:tcW w:w="2537" w:type="dxa"/>
            <w:vAlign w:val="center"/>
          </w:tcPr>
          <w:p w:rsidR="00AE5977" w:rsidRPr="003522CC" w:rsidRDefault="00AE5977" w:rsidP="004420F2">
            <w:pP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lastRenderedPageBreak/>
              <w:t xml:space="preserve">Görev </w:t>
            </w:r>
            <w:r w:rsidRPr="003522CC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İle İlgili Mevzuatlar</w:t>
            </w:r>
          </w:p>
        </w:tc>
        <w:tc>
          <w:tcPr>
            <w:tcW w:w="7636" w:type="dxa"/>
            <w:gridSpan w:val="4"/>
            <w:vAlign w:val="center"/>
          </w:tcPr>
          <w:p w:rsidR="00AE00D0" w:rsidRPr="009F7551" w:rsidRDefault="005028C1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5018 S</w:t>
            </w:r>
            <w:r w:rsidR="00AE00D0"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ayılı Kamu Mali Yönetimi ve Kontrol Kanunu ile bu Kanuna dayanılarak yürürlüğe konulan mevzuat,</w:t>
            </w:r>
          </w:p>
          <w:p w:rsidR="00234C5D" w:rsidRDefault="00234C5D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9813 Sayılı İç Kontrol ve Ön Mali Kontrole İlişkin Usul ve Esaslar Hakkında Yönetmelik,</w:t>
            </w:r>
          </w:p>
          <w:p w:rsidR="00234C5D" w:rsidRDefault="00234C5D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Kamu İç Kontrol Rehberi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234C5D" w:rsidRDefault="00234C5D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Kamu İç Kontrol Standartlarına Uyum Eylem Planı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C07E6D" w:rsidRDefault="00C07E6D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Kamu İç Kontrol Standartları Tebliği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C07E6D" w:rsidRDefault="00C07E6D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 Ön Mali Kontrol İşlemleri Yönergesi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2547 Sayılı Yükseköğretim Kanunu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2914 Sayılı Yükseköğretim Personel Kanunu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657 Sayılı Devlet Memurları Kanunu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Yılı Merkezi Yönetim Bütçe Kanunu,</w:t>
            </w:r>
          </w:p>
          <w:p w:rsidR="00AE00D0" w:rsidRPr="009F7551" w:rsidRDefault="005028C1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6085 S</w:t>
            </w:r>
            <w:r w:rsidR="00AE00D0"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ayılı Sayıştay Kanunu,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İhale kanunları ve ilgili mevzuat,</w:t>
            </w:r>
          </w:p>
          <w:p w:rsidR="00AE00D0" w:rsidRPr="009F7551" w:rsidRDefault="005028C1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6245 S</w:t>
            </w:r>
            <w:r w:rsidR="00AE00D0"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ayılı Harcırah Kanunu ve ilgili mevzuat,</w:t>
            </w:r>
          </w:p>
          <w:p w:rsidR="00AE00D0" w:rsidRPr="009F7551" w:rsidRDefault="005028C1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5510 S</w:t>
            </w:r>
            <w:r w:rsidR="00AE00D0"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ayılı Sosyal Sigortalar ve Genel Sağlık Sigortası Kanunu,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2489 Kefalet Kanunu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193 Sayılı Gelir Vergisi Kanunu,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213 Sayılı Vergi Usul Kanunu,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488 Sayılı Damga Vergisi Kanunu,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3065 Sayılı Katma Değer Vergisi Kanunu,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6183 Amme Alacaklarının Tahsil Usulü Hakkında Kanun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AE00D0" w:rsidRPr="009F7551" w:rsidRDefault="00AE00D0" w:rsidP="00AE00D0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9F7551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İcra ve İflas Kanunu</w:t>
            </w:r>
            <w:r w:rsidR="00E43DB7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,</w:t>
            </w:r>
          </w:p>
          <w:p w:rsidR="00AE5977" w:rsidRDefault="00AE00D0" w:rsidP="00AE00D0">
            <w:pPr>
              <w:pStyle w:val="ListeParagraf"/>
              <w:numPr>
                <w:ilvl w:val="0"/>
                <w:numId w:val="3"/>
              </w:num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AE00D0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Diğer Mevzuat.</w:t>
            </w:r>
          </w:p>
          <w:p w:rsidR="00EE53A1" w:rsidRDefault="00EE53A1" w:rsidP="00AE00D0">
            <w:pPr>
              <w:pStyle w:val="ListeParagraf"/>
              <w:numPr>
                <w:ilvl w:val="0"/>
                <w:numId w:val="3"/>
              </w:num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Yükseköğretim Kalite Güvencesi ve Yükseköğretim Kalite Kurulu Yönetmeliği</w:t>
            </w:r>
          </w:p>
          <w:p w:rsidR="00EE53A1" w:rsidRDefault="00EE53A1" w:rsidP="00AE00D0">
            <w:pPr>
              <w:pStyle w:val="ListeParagraf"/>
              <w:numPr>
                <w:ilvl w:val="0"/>
                <w:numId w:val="3"/>
              </w:num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 Kalite Güvence Sistemi Yönergesi</w:t>
            </w:r>
          </w:p>
          <w:p w:rsidR="00EE53A1" w:rsidRPr="00AE00D0" w:rsidRDefault="00EE53A1" w:rsidP="00AE00D0">
            <w:pPr>
              <w:pStyle w:val="ListeParagraf"/>
              <w:numPr>
                <w:ilvl w:val="0"/>
                <w:numId w:val="3"/>
              </w:num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 Kalite Komisyonu Yönergesi</w:t>
            </w:r>
          </w:p>
        </w:tc>
      </w:tr>
      <w:tr w:rsidR="00AE5977" w:rsidRPr="00992E25" w:rsidTr="00A95311">
        <w:trPr>
          <w:trHeight w:val="480"/>
        </w:trPr>
        <w:tc>
          <w:tcPr>
            <w:tcW w:w="10173" w:type="dxa"/>
            <w:gridSpan w:val="5"/>
            <w:vAlign w:val="center"/>
          </w:tcPr>
          <w:p w:rsidR="00AE5977" w:rsidRPr="008020E0" w:rsidRDefault="00AE5977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8020E0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ONAYLAYAN</w:t>
            </w:r>
          </w:p>
        </w:tc>
      </w:tr>
      <w:tr w:rsidR="00AE5977" w:rsidRPr="00992E25" w:rsidTr="00A95311">
        <w:trPr>
          <w:trHeight w:val="1045"/>
        </w:trPr>
        <w:tc>
          <w:tcPr>
            <w:tcW w:w="10173" w:type="dxa"/>
            <w:gridSpan w:val="5"/>
            <w:vAlign w:val="center"/>
          </w:tcPr>
          <w:p w:rsidR="00AE00D0" w:rsidRDefault="00AE00D0" w:rsidP="00AE00D0">
            <w:pPr>
              <w:spacing w:after="0"/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sz w:val="24"/>
                <w:szCs w:val="24"/>
                <w:lang w:eastAsia="tr-TR"/>
              </w:rPr>
              <w:t>İsmail ÇOM</w:t>
            </w:r>
          </w:p>
          <w:p w:rsidR="00AE5977" w:rsidRPr="003522CC" w:rsidRDefault="00AE00D0" w:rsidP="00AE00D0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sz w:val="24"/>
                <w:szCs w:val="24"/>
                <w:lang w:eastAsia="tr-TR"/>
              </w:rPr>
              <w:t>Daire Başkanı</w:t>
            </w:r>
          </w:p>
        </w:tc>
      </w:tr>
    </w:tbl>
    <w:p w:rsidR="00FA3D4B" w:rsidRDefault="00FA3D4B" w:rsidP="004401FA"/>
    <w:sectPr w:rsidR="00FA3D4B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84D"/>
    <w:multiLevelType w:val="multilevel"/>
    <w:tmpl w:val="5290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B1BF8"/>
    <w:multiLevelType w:val="hybridMultilevel"/>
    <w:tmpl w:val="EAA44D5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355D90"/>
    <w:multiLevelType w:val="hybridMultilevel"/>
    <w:tmpl w:val="C5B2ED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35750"/>
    <w:rsid w:val="00234C5D"/>
    <w:rsid w:val="003A19FB"/>
    <w:rsid w:val="004401FA"/>
    <w:rsid w:val="004678A7"/>
    <w:rsid w:val="0049491C"/>
    <w:rsid w:val="005028C1"/>
    <w:rsid w:val="005338E3"/>
    <w:rsid w:val="00540397"/>
    <w:rsid w:val="00663626"/>
    <w:rsid w:val="007F4D46"/>
    <w:rsid w:val="008C158F"/>
    <w:rsid w:val="008D6CD1"/>
    <w:rsid w:val="00930428"/>
    <w:rsid w:val="00A82D71"/>
    <w:rsid w:val="00A95311"/>
    <w:rsid w:val="00AE00D0"/>
    <w:rsid w:val="00AE5977"/>
    <w:rsid w:val="00BC7D1F"/>
    <w:rsid w:val="00C07E6D"/>
    <w:rsid w:val="00C1592E"/>
    <w:rsid w:val="00C17E05"/>
    <w:rsid w:val="00C67160"/>
    <w:rsid w:val="00CD1C97"/>
    <w:rsid w:val="00D27A2D"/>
    <w:rsid w:val="00DD14D0"/>
    <w:rsid w:val="00E22BD7"/>
    <w:rsid w:val="00E43DB7"/>
    <w:rsid w:val="00E7754E"/>
    <w:rsid w:val="00EE53A1"/>
    <w:rsid w:val="00EF57E6"/>
    <w:rsid w:val="00F67493"/>
    <w:rsid w:val="00F72B7D"/>
    <w:rsid w:val="00F74F08"/>
    <w:rsid w:val="00F91B11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2B7F"/>
  <w15:docId w15:val="{D09554FC-EF61-47FA-BD2B-9A3D8C16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31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3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2023-11-30T11:17:00Z</dcterms:created>
  <dcterms:modified xsi:type="dcterms:W3CDTF">2023-11-30T11:46:00Z</dcterms:modified>
</cp:coreProperties>
</file>