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541"/>
        <w:tblOverlap w:val="never"/>
        <w:tblW w:w="9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559"/>
        <w:gridCol w:w="1147"/>
        <w:gridCol w:w="412"/>
        <w:gridCol w:w="1666"/>
        <w:gridCol w:w="2182"/>
      </w:tblGrid>
      <w:tr w:rsidR="00BD1244" w:rsidRPr="00992E25" w:rsidTr="004420F2">
        <w:trPr>
          <w:trHeight w:val="967"/>
        </w:trPr>
        <w:tc>
          <w:tcPr>
            <w:tcW w:w="2679" w:type="dxa"/>
            <w:vMerge w:val="restart"/>
          </w:tcPr>
          <w:p w:rsidR="00BD1244" w:rsidRPr="00992E25" w:rsidRDefault="00BD1244" w:rsidP="004420F2">
            <w:pPr>
              <w:ind w:right="-290"/>
              <w:rPr>
                <w:rFonts w:ascii="Hurme Geometric Sans 1" w:eastAsia="Calibri" w:hAnsi="Hurme Geometric Sans 1" w:cs="Times New Roman"/>
                <w:i/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45218B1" wp14:editId="0C8A445A">
                  <wp:extent cx="1504950" cy="838200"/>
                  <wp:effectExtent l="0" t="0" r="0" b="0"/>
                  <wp:docPr id="587" name="Resim 587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4420F2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4"/>
                <w:szCs w:val="24"/>
                <w:lang w:eastAsia="tr-TR"/>
              </w:rPr>
            </w:pPr>
            <w:r w:rsidRPr="007746E4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BİRİM ADI</w:t>
            </w:r>
          </w:p>
        </w:tc>
        <w:tc>
          <w:tcPr>
            <w:tcW w:w="2182" w:type="dxa"/>
            <w:vMerge w:val="restart"/>
          </w:tcPr>
          <w:p w:rsidR="00BD1244" w:rsidRPr="004C3E31" w:rsidRDefault="004C3E31" w:rsidP="004420F2">
            <w:pPr>
              <w:ind w:right="-290"/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28"/>
                <w:szCs w:val="28"/>
                <w:lang w:eastAsia="tr-TR"/>
              </w:rPr>
            </w:pPr>
            <w:r w:rsidRPr="004C3E31">
              <w:rPr>
                <w:rFonts w:ascii="Hurme Geometric Sans 1" w:eastAsia="Times New Roman" w:hAnsi="Hurme Geometric Sans 1" w:cs="Times New Roman"/>
                <w:bCs/>
                <w:noProof/>
                <w:color w:val="2E74B5" w:themeColor="accent1" w:themeShade="BF"/>
                <w:sz w:val="28"/>
                <w:szCs w:val="28"/>
                <w:lang w:eastAsia="tr-TR"/>
              </w:rPr>
              <w:drawing>
                <wp:inline distT="0" distB="0" distL="0" distR="0" wp14:anchorId="6505A0ED" wp14:editId="3A46F7D0">
                  <wp:extent cx="1280160" cy="906145"/>
                  <wp:effectExtent l="0" t="0" r="0" b="8255"/>
                  <wp:docPr id="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972" cy="909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244" w:rsidRPr="00992E25" w:rsidTr="004420F2">
        <w:trPr>
          <w:trHeight w:val="681"/>
        </w:trPr>
        <w:tc>
          <w:tcPr>
            <w:tcW w:w="2679" w:type="dxa"/>
            <w:vMerge/>
          </w:tcPr>
          <w:p w:rsidR="00BD1244" w:rsidRPr="00992E25" w:rsidRDefault="00BD1244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4420F2">
            <w:pPr>
              <w:jc w:val="center"/>
              <w:rPr>
                <w:rFonts w:ascii="Hurme Geometric Sans 1" w:eastAsia="Calibri" w:hAnsi="Hurme Geometric Sans 1" w:cs="Aria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Hurme Geometric Sans 1" w:eastAsia="Calibri" w:hAnsi="Hurme Geometric Sans 1" w:cs="Arial"/>
                <w:b/>
                <w:color w:val="1F4E79" w:themeColor="accent1" w:themeShade="80"/>
                <w:sz w:val="24"/>
                <w:szCs w:val="24"/>
              </w:rPr>
              <w:t>PERSONEL GÖREV TANIM FORMU</w:t>
            </w:r>
          </w:p>
        </w:tc>
        <w:tc>
          <w:tcPr>
            <w:tcW w:w="2182" w:type="dxa"/>
            <w:vMerge/>
          </w:tcPr>
          <w:p w:rsidR="00BD1244" w:rsidRPr="00992E25" w:rsidRDefault="00BD1244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</w:tr>
      <w:tr w:rsidR="00BD1244" w:rsidRPr="00992E25" w:rsidTr="004C3E31">
        <w:trPr>
          <w:trHeight w:val="385"/>
        </w:trPr>
        <w:tc>
          <w:tcPr>
            <w:tcW w:w="2679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Dok. Kodu: İK</w:t>
            </w:r>
            <w:r w:rsidRPr="002F028A">
              <w:rPr>
                <w:rFonts w:ascii="Hurme Geometric Sans 1" w:eastAsia="Calibri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. FR. 01</w:t>
            </w:r>
          </w:p>
        </w:tc>
        <w:tc>
          <w:tcPr>
            <w:tcW w:w="1559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Yay. Tar: </w:t>
            </w:r>
            <w:r w:rsidR="004C3E31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01.04.2023</w:t>
            </w:r>
          </w:p>
        </w:tc>
        <w:tc>
          <w:tcPr>
            <w:tcW w:w="1147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Revizyon No: </w:t>
            </w:r>
          </w:p>
        </w:tc>
        <w:tc>
          <w:tcPr>
            <w:tcW w:w="2078" w:type="dxa"/>
            <w:gridSpan w:val="2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proofErr w:type="spellStart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Rev</w:t>
            </w:r>
            <w:proofErr w:type="spellEnd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. Tar: </w:t>
            </w:r>
          </w:p>
        </w:tc>
        <w:tc>
          <w:tcPr>
            <w:tcW w:w="2182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Sayfa Sayısı: 01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4C3E31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C3E3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Birim 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4C3E31" w:rsidRDefault="00B7104B" w:rsidP="004C3E31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C3E3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Sağlık Bilimleri Fakültesi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4C3E31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C3E3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Alt Birim 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4C3E31" w:rsidRDefault="008F64E5" w:rsidP="004C3E31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C3E3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Egzersiz ve Spor Bilimleri Bölümü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4C3E31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C3E3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Personel Adı Soyadı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4C3E31" w:rsidRDefault="00562FB8" w:rsidP="004C3E31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Fatih KIRKBİR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4C3E31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C3E3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Görev/Kadro Unvanı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4C3E31" w:rsidRDefault="00C85753" w:rsidP="00562FB8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C3E3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Bölüm Başkanı/</w:t>
            </w:r>
            <w:r w:rsidR="00562FB8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Doç.</w:t>
            </w:r>
            <w:r w:rsidRPr="004C3E3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 Dr. </w:t>
            </w:r>
          </w:p>
        </w:tc>
      </w:tr>
      <w:tr w:rsidR="00BD1244" w:rsidRPr="00992E25" w:rsidTr="004420F2">
        <w:trPr>
          <w:trHeight w:val="642"/>
        </w:trPr>
        <w:tc>
          <w:tcPr>
            <w:tcW w:w="2679" w:type="dxa"/>
            <w:vAlign w:val="center"/>
          </w:tcPr>
          <w:p w:rsidR="00BD1244" w:rsidRPr="004C3E31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C3E3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Bağlı Olduğu Yönetici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4C3E31" w:rsidRDefault="00C85753" w:rsidP="004C3E31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C3E3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Dekan</w:t>
            </w:r>
          </w:p>
        </w:tc>
      </w:tr>
      <w:tr w:rsidR="00BD1244" w:rsidRPr="00992E25" w:rsidTr="004420F2">
        <w:trPr>
          <w:trHeight w:val="642"/>
        </w:trPr>
        <w:tc>
          <w:tcPr>
            <w:tcW w:w="2679" w:type="dxa"/>
            <w:vAlign w:val="center"/>
          </w:tcPr>
          <w:p w:rsidR="00BD1244" w:rsidRPr="004C3E31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C3E3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Vekâlet Edecek Personel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4C3E31" w:rsidRDefault="004C3E31" w:rsidP="004C3E31">
            <w:pPr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  <w:t>----</w:t>
            </w:r>
          </w:p>
        </w:tc>
      </w:tr>
      <w:tr w:rsidR="00BD1244" w:rsidRPr="00992E25" w:rsidTr="004420F2">
        <w:trPr>
          <w:trHeight w:val="1045"/>
        </w:trPr>
        <w:tc>
          <w:tcPr>
            <w:tcW w:w="2679" w:type="dxa"/>
            <w:vAlign w:val="center"/>
          </w:tcPr>
          <w:p w:rsidR="00BD1244" w:rsidRPr="004C3E31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C3E3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Temel Görev Ve Sorumlulukları</w:t>
            </w:r>
          </w:p>
        </w:tc>
        <w:tc>
          <w:tcPr>
            <w:tcW w:w="6966" w:type="dxa"/>
            <w:gridSpan w:val="5"/>
            <w:vAlign w:val="center"/>
          </w:tcPr>
          <w:p w:rsidR="004605B9" w:rsidRPr="004C3E31" w:rsidRDefault="004605B9" w:rsidP="00CC085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4C3E31">
              <w:rPr>
                <w:rFonts w:cstheme="minorHAnsi"/>
                <w:color w:val="2F5496" w:themeColor="accent5" w:themeShade="BF"/>
                <w:sz w:val="24"/>
                <w:szCs w:val="24"/>
              </w:rPr>
              <w:t>Bölümün alanına uygun anabilim dallarının kurulmasını sağlamak.</w:t>
            </w:r>
            <w:proofErr w:type="gramEnd"/>
          </w:p>
          <w:p w:rsidR="004605B9" w:rsidRPr="004C3E31" w:rsidRDefault="004605B9" w:rsidP="00CC085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C3E31">
              <w:rPr>
                <w:rFonts w:cstheme="minorHAnsi"/>
                <w:color w:val="2F5496" w:themeColor="accent5" w:themeShade="BF"/>
                <w:sz w:val="24"/>
                <w:szCs w:val="24"/>
              </w:rPr>
              <w:t>Bölümün eğitim-öğretim ve araştırma faaliyetlerinin düzenli yürütülmesini sağlamak.</w:t>
            </w:r>
          </w:p>
          <w:p w:rsidR="004605B9" w:rsidRPr="004C3E31" w:rsidRDefault="004605B9" w:rsidP="00CC085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4C3E31">
              <w:rPr>
                <w:rFonts w:cstheme="minorHAnsi"/>
                <w:color w:val="2F5496" w:themeColor="accent5" w:themeShade="BF"/>
                <w:sz w:val="24"/>
                <w:szCs w:val="24"/>
              </w:rPr>
              <w:t>Kaynakların etkili, verimli ve ekonomik olarak kullanılmasını sağlamak.</w:t>
            </w:r>
            <w:proofErr w:type="gramEnd"/>
          </w:p>
          <w:p w:rsidR="004605B9" w:rsidRPr="004C3E31" w:rsidRDefault="004605B9" w:rsidP="00CC085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4C3E31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 Kurulu toplantılarında bölümü temsil etmek.</w:t>
            </w:r>
            <w:proofErr w:type="gramEnd"/>
          </w:p>
          <w:p w:rsidR="004605B9" w:rsidRPr="004C3E31" w:rsidRDefault="004605B9" w:rsidP="00CC085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C3E31">
              <w:rPr>
                <w:rFonts w:cstheme="minorHAnsi"/>
                <w:color w:val="2F5496" w:themeColor="accent5" w:themeShade="BF"/>
                <w:sz w:val="24"/>
                <w:szCs w:val="24"/>
              </w:rPr>
              <w:t>Bölümle ilgili gelişmeleri takip etmek, yaşanan sorunları çözmek için gerekli toplantıları yapmak.</w:t>
            </w:r>
          </w:p>
          <w:p w:rsidR="004605B9" w:rsidRPr="004C3E31" w:rsidRDefault="004605B9" w:rsidP="00CC085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4C3E31">
              <w:rPr>
                <w:rFonts w:cstheme="minorHAnsi"/>
                <w:color w:val="2F5496" w:themeColor="accent5" w:themeShade="BF"/>
                <w:sz w:val="24"/>
                <w:szCs w:val="24"/>
              </w:rPr>
              <w:t>Bölümün kadro ve öğretim elemanı ihtiyacını planlayarak dekanlığa sunmak.</w:t>
            </w:r>
            <w:proofErr w:type="gramEnd"/>
          </w:p>
          <w:p w:rsidR="004605B9" w:rsidRPr="004C3E31" w:rsidRDefault="004605B9" w:rsidP="00CC085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4C3E31">
              <w:rPr>
                <w:rFonts w:cstheme="minorHAnsi"/>
                <w:color w:val="2F5496" w:themeColor="accent5" w:themeShade="BF"/>
                <w:sz w:val="24"/>
                <w:szCs w:val="24"/>
              </w:rPr>
              <w:t>Akademik personelin performansını izleyerek dekanlığa bilgi vermek.</w:t>
            </w:r>
            <w:proofErr w:type="gramEnd"/>
          </w:p>
          <w:p w:rsidR="004605B9" w:rsidRPr="004C3E31" w:rsidRDefault="004605B9" w:rsidP="00CC085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4C3E31">
              <w:rPr>
                <w:rFonts w:cstheme="minorHAnsi"/>
                <w:color w:val="2F5496" w:themeColor="accent5" w:themeShade="BF"/>
                <w:sz w:val="24"/>
                <w:szCs w:val="24"/>
              </w:rPr>
              <w:t>Bölümde görevli elemanları izlemek ve görevlerini tam olarak yapmalarını sağlamak.</w:t>
            </w:r>
            <w:proofErr w:type="gramEnd"/>
          </w:p>
          <w:p w:rsidR="004605B9" w:rsidRPr="004C3E31" w:rsidRDefault="004605B9" w:rsidP="00CC085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C3E31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Bölümün faaliyet, stratejik plan ve performans </w:t>
            </w:r>
            <w:proofErr w:type="gramStart"/>
            <w:r w:rsidRPr="004C3E31">
              <w:rPr>
                <w:rFonts w:cstheme="minorHAnsi"/>
                <w:color w:val="2F5496" w:themeColor="accent5" w:themeShade="BF"/>
                <w:sz w:val="24"/>
                <w:szCs w:val="24"/>
              </w:rPr>
              <w:t>kriterlerini</w:t>
            </w:r>
            <w:proofErr w:type="gramEnd"/>
            <w:r w:rsidRPr="004C3E31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hazırlamak.</w:t>
            </w:r>
          </w:p>
          <w:p w:rsidR="004605B9" w:rsidRPr="004C3E31" w:rsidRDefault="004605B9" w:rsidP="00CC085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C3E31">
              <w:rPr>
                <w:rFonts w:cstheme="minorHAnsi"/>
                <w:color w:val="2F5496" w:themeColor="accent5" w:themeShade="BF"/>
                <w:sz w:val="24"/>
                <w:szCs w:val="24"/>
              </w:rPr>
              <w:t>Bitirme tezlerini ve lisansüstü tezlerini izlemek.</w:t>
            </w:r>
          </w:p>
          <w:p w:rsidR="004605B9" w:rsidRPr="004C3E31" w:rsidRDefault="004605B9" w:rsidP="00CC085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4C3E31">
              <w:rPr>
                <w:rFonts w:cstheme="minorHAnsi"/>
                <w:color w:val="2F5496" w:themeColor="accent5" w:themeShade="BF"/>
                <w:sz w:val="24"/>
                <w:szCs w:val="24"/>
              </w:rPr>
              <w:t>Lisansüstü sınavlarına başvuran adayların sınavlarının yapılmasını sağlamak ve danışmanlıklarını uygun şekilde dağıtmak.</w:t>
            </w:r>
            <w:proofErr w:type="gramEnd"/>
          </w:p>
          <w:p w:rsidR="004605B9" w:rsidRPr="004C3E31" w:rsidRDefault="004605B9" w:rsidP="00CC085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4C3E31">
              <w:rPr>
                <w:rFonts w:cstheme="minorHAnsi"/>
                <w:color w:val="2F5496" w:themeColor="accent5" w:themeShade="BF"/>
                <w:sz w:val="24"/>
                <w:szCs w:val="24"/>
              </w:rPr>
              <w:t>Raporlu ve izinli öğrencilerin durumlarını değerlendirmek.</w:t>
            </w:r>
            <w:proofErr w:type="gramEnd"/>
          </w:p>
          <w:p w:rsidR="004605B9" w:rsidRPr="004C3E31" w:rsidRDefault="004605B9" w:rsidP="00CC085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C3E31">
              <w:rPr>
                <w:rFonts w:cstheme="minorHAnsi"/>
                <w:color w:val="2F5496" w:themeColor="accent5" w:themeShade="BF"/>
                <w:sz w:val="24"/>
                <w:szCs w:val="24"/>
              </w:rPr>
              <w:t>Engelli ve yabancı uyruklu öğrencilerin sorunları ile ilgilenmek.</w:t>
            </w:r>
          </w:p>
          <w:p w:rsidR="004605B9" w:rsidRPr="004C3E31" w:rsidRDefault="004605B9" w:rsidP="00CC085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C3E31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Ders programlarının ve sınav programlarının yapılmasını ve öğretim elemanları ile öğrencilere duyurulmasını sağlamak. </w:t>
            </w:r>
          </w:p>
          <w:p w:rsidR="004605B9" w:rsidRPr="004C3E31" w:rsidRDefault="004605B9" w:rsidP="00CC085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4C3E31">
              <w:rPr>
                <w:rFonts w:cstheme="minorHAnsi"/>
                <w:color w:val="2F5496" w:themeColor="accent5" w:themeShade="BF"/>
                <w:sz w:val="24"/>
                <w:szCs w:val="24"/>
              </w:rPr>
              <w:t>Ders programının ve ders görevlendirmelerinin adil, objektif ve öğretim elemanlarının bilim alanlarına uygun olarak yapılmasını sağlamak.</w:t>
            </w:r>
            <w:proofErr w:type="gramEnd"/>
          </w:p>
          <w:p w:rsidR="004605B9" w:rsidRPr="004C3E31" w:rsidRDefault="004605B9" w:rsidP="00CC085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4C3E31">
              <w:rPr>
                <w:rFonts w:cstheme="minorHAnsi"/>
                <w:color w:val="2F5496" w:themeColor="accent5" w:themeShade="BF"/>
                <w:sz w:val="24"/>
                <w:szCs w:val="24"/>
              </w:rPr>
              <w:t>Bilgi paket</w:t>
            </w:r>
            <w:r w:rsidR="00CC085B">
              <w:rPr>
                <w:rFonts w:cstheme="minorHAnsi"/>
                <w:color w:val="2F5496" w:themeColor="accent5" w:themeShade="BF"/>
                <w:sz w:val="24"/>
                <w:szCs w:val="24"/>
              </w:rPr>
              <w:t>ler</w:t>
            </w:r>
            <w:r w:rsidRPr="004C3E31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inin </w:t>
            </w:r>
            <w:r w:rsidR="00CC085B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her dönem başında </w:t>
            </w:r>
            <w:r w:rsidRPr="004C3E31">
              <w:rPr>
                <w:rFonts w:cstheme="minorHAnsi"/>
                <w:color w:val="2F5496" w:themeColor="accent5" w:themeShade="BF"/>
                <w:sz w:val="24"/>
                <w:szCs w:val="24"/>
              </w:rPr>
              <w:t>hazırlanması ve</w:t>
            </w:r>
            <w:r w:rsidR="00CC085B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ya </w:t>
            </w:r>
            <w:r w:rsidRPr="004C3E31">
              <w:rPr>
                <w:rFonts w:cstheme="minorHAnsi"/>
                <w:color w:val="2F5496" w:themeColor="accent5" w:themeShade="BF"/>
                <w:sz w:val="24"/>
                <w:szCs w:val="24"/>
              </w:rPr>
              <w:t>güncellenmesin</w:t>
            </w:r>
            <w:r w:rsidR="00CC085B">
              <w:rPr>
                <w:rFonts w:cstheme="minorHAnsi"/>
                <w:color w:val="2F5496" w:themeColor="accent5" w:themeShade="BF"/>
                <w:sz w:val="24"/>
                <w:szCs w:val="24"/>
              </w:rPr>
              <w:t>i sağlamak.</w:t>
            </w:r>
            <w:proofErr w:type="gramEnd"/>
          </w:p>
          <w:p w:rsidR="004605B9" w:rsidRPr="004C3E31" w:rsidRDefault="004605B9" w:rsidP="00CC085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C3E31">
              <w:rPr>
                <w:rFonts w:cstheme="minorHAnsi"/>
                <w:color w:val="2F5496" w:themeColor="accent5" w:themeShade="BF"/>
                <w:sz w:val="24"/>
                <w:szCs w:val="24"/>
              </w:rPr>
              <w:lastRenderedPageBreak/>
              <w:t>Bölüm WEB sayfası içeriğinin hazırlanması ve güncel</w:t>
            </w:r>
            <w:r w:rsidR="00CC085B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proofErr w:type="gramStart"/>
            <w:r w:rsidR="00CC085B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tutulmasını </w:t>
            </w:r>
            <w:r w:rsidRPr="004C3E31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sağlamak</w:t>
            </w:r>
            <w:proofErr w:type="gramEnd"/>
            <w:r w:rsidRPr="004C3E31">
              <w:rPr>
                <w:rFonts w:cstheme="minorHAnsi"/>
                <w:color w:val="2F5496" w:themeColor="accent5" w:themeShade="BF"/>
                <w:sz w:val="24"/>
                <w:szCs w:val="24"/>
              </w:rPr>
              <w:t>.</w:t>
            </w:r>
          </w:p>
          <w:p w:rsidR="00F03C28" w:rsidRDefault="00F03C28" w:rsidP="00CC085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45671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Ek ders ödemelerine esas teşkil eden F1 ve F2 formlarını </w:t>
            </w:r>
            <w:proofErr w:type="spellStart"/>
            <w:r w:rsidRPr="00445671">
              <w:rPr>
                <w:rFonts w:cstheme="minorHAnsi"/>
                <w:color w:val="2F5496" w:themeColor="accent5" w:themeShade="BF"/>
                <w:sz w:val="24"/>
                <w:szCs w:val="24"/>
              </w:rPr>
              <w:t>BYS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’de</w:t>
            </w:r>
            <w:proofErr w:type="spellEnd"/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oluşturarak ders görevlendirmesi olan öğretim elemanlarının </w:t>
            </w:r>
            <w:proofErr w:type="spellStart"/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BYS’lerine</w:t>
            </w:r>
            <w:proofErr w:type="spellEnd"/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aktarmak, öğretim elemanları tarafından kontrol edildikten </w:t>
            </w:r>
            <w:proofErr w:type="gramStart"/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sonra  </w:t>
            </w:r>
            <w:proofErr w:type="spellStart"/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BYS’den</w:t>
            </w:r>
            <w:proofErr w:type="spellEnd"/>
            <w:proofErr w:type="gramEnd"/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EBYS’ye</w:t>
            </w:r>
            <w:proofErr w:type="spellEnd"/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aktarılan F1 ve F2 formlarını elektronik olarak imzalamak ve dekanlığa havale etmek.</w:t>
            </w:r>
          </w:p>
          <w:p w:rsidR="004605B9" w:rsidRPr="004C3E31" w:rsidRDefault="004605B9" w:rsidP="00CC085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C3E31">
              <w:rPr>
                <w:rFonts w:cstheme="minorHAnsi"/>
                <w:color w:val="2F5496" w:themeColor="accent5" w:themeShade="BF"/>
                <w:sz w:val="24"/>
                <w:szCs w:val="24"/>
              </w:rPr>
              <w:t>Bilimsel toplantılar düzenlemek, öğretim elemanlarının ulusal ve uluslararası faaliyetlere katılmalarını teşvik etmek.</w:t>
            </w:r>
          </w:p>
          <w:p w:rsidR="004605B9" w:rsidRDefault="004605B9" w:rsidP="00CC085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C3E31">
              <w:rPr>
                <w:rFonts w:cstheme="minorHAnsi"/>
                <w:color w:val="2F5496" w:themeColor="accent5" w:themeShade="BF"/>
                <w:sz w:val="24"/>
                <w:szCs w:val="24"/>
              </w:rPr>
              <w:t>Öğretim elemanlarının görev sürelerinin izlenmesi ve uzatılması ile ilgili işlemleri yürütülmesini sağlamak.</w:t>
            </w:r>
          </w:p>
          <w:p w:rsidR="00CC085B" w:rsidRPr="0090671E" w:rsidRDefault="00CC085B" w:rsidP="00CC085B">
            <w:pPr>
              <w:pStyle w:val="ListeParagraf"/>
              <w:numPr>
                <w:ilvl w:val="0"/>
                <w:numId w:val="7"/>
              </w:numPr>
              <w:spacing w:after="120" w:line="240" w:lineRule="auto"/>
              <w:ind w:left="175" w:right="34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90671E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 ve bölüm komisyonlarındaki sorumlulukları yerine getirmek, Bölüm komisyonlarının yıllık faaliyetleri hakkında Bölüm Başkanlığını bilgilendirmek.</w:t>
            </w:r>
          </w:p>
          <w:p w:rsidR="004605B9" w:rsidRPr="004C3E31" w:rsidRDefault="004605B9" w:rsidP="00CC085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spellStart"/>
            <w:r w:rsidRPr="004C3E31">
              <w:rPr>
                <w:rFonts w:cstheme="minorHAnsi"/>
                <w:color w:val="2F5496" w:themeColor="accent5" w:themeShade="BF"/>
                <w:sz w:val="24"/>
                <w:szCs w:val="24"/>
              </w:rPr>
              <w:t>Erasmus</w:t>
            </w:r>
            <w:proofErr w:type="spellEnd"/>
            <w:r w:rsidRPr="004C3E31">
              <w:rPr>
                <w:rFonts w:cstheme="minorHAnsi"/>
                <w:color w:val="2F5496" w:themeColor="accent5" w:themeShade="BF"/>
                <w:sz w:val="24"/>
                <w:szCs w:val="24"/>
              </w:rPr>
              <w:t>, Farabi ve Mevlana değişim programları ile ilgili faaliyetleri yürütmek.</w:t>
            </w:r>
          </w:p>
          <w:p w:rsidR="004605B9" w:rsidRPr="004C3E31" w:rsidRDefault="004605B9" w:rsidP="00CC085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C3E31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Fakültenin etik kurallarına uymak, iç kontrol çalışmalarına katılmak, hassas ve riskli görevlerin dikkate alınmasını sağlamak.</w:t>
            </w:r>
          </w:p>
          <w:p w:rsidR="00BD1244" w:rsidRPr="004C3E31" w:rsidRDefault="004605B9" w:rsidP="00CC085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C3E31">
              <w:rPr>
                <w:rFonts w:cstheme="minorHAnsi"/>
                <w:color w:val="2F5496" w:themeColor="accent5" w:themeShade="BF"/>
                <w:sz w:val="24"/>
                <w:szCs w:val="24"/>
              </w:rPr>
              <w:t>Dekan ve Dekan Yardımcısının vereceği diğer görevleri yerine getirmek.</w:t>
            </w:r>
            <w:r w:rsidRPr="004C3E3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BD1244" w:rsidRPr="00992E25" w:rsidTr="004420F2">
        <w:trPr>
          <w:trHeight w:val="1045"/>
        </w:trPr>
        <w:tc>
          <w:tcPr>
            <w:tcW w:w="2679" w:type="dxa"/>
            <w:vAlign w:val="center"/>
          </w:tcPr>
          <w:p w:rsidR="00BD1244" w:rsidRPr="004C3E31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C3E3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lastRenderedPageBreak/>
              <w:t>Görev İçin Gerekli Beceri ve Yetenekler</w:t>
            </w:r>
          </w:p>
        </w:tc>
        <w:tc>
          <w:tcPr>
            <w:tcW w:w="6966" w:type="dxa"/>
            <w:gridSpan w:val="5"/>
            <w:vAlign w:val="center"/>
          </w:tcPr>
          <w:p w:rsidR="004C3E31" w:rsidRPr="00CC085B" w:rsidRDefault="004C3E31" w:rsidP="00CC085B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C085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Vizyon sahibi olma</w:t>
            </w:r>
          </w:p>
          <w:p w:rsidR="004C3E31" w:rsidRPr="00CC085B" w:rsidRDefault="004C3E31" w:rsidP="00CC085B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C085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Hızlı düşünebilme</w:t>
            </w:r>
          </w:p>
          <w:p w:rsidR="004C3E31" w:rsidRPr="00CC085B" w:rsidRDefault="004C3E31" w:rsidP="00CC085B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C085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Çözüm odaklı olma</w:t>
            </w:r>
          </w:p>
          <w:p w:rsidR="004C3E31" w:rsidRPr="00CC085B" w:rsidRDefault="004C3E31" w:rsidP="00CC085B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C085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Değişim ve gelişime açık olma</w:t>
            </w:r>
          </w:p>
          <w:p w:rsidR="004C3E31" w:rsidRPr="00CC085B" w:rsidRDefault="004C3E31" w:rsidP="00CC085B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C085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Yöneticilik özellikleri taşıma</w:t>
            </w:r>
          </w:p>
          <w:p w:rsidR="004C3E31" w:rsidRPr="00CC085B" w:rsidRDefault="004C3E31" w:rsidP="00CC085B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C085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Teknolojik aletleri kullanabilme</w:t>
            </w:r>
          </w:p>
          <w:p w:rsidR="004C3E31" w:rsidRPr="00CC085B" w:rsidRDefault="004C3E31" w:rsidP="00CC085B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C085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İletişim becerisine sahip olma</w:t>
            </w:r>
          </w:p>
          <w:p w:rsidR="00BD1244" w:rsidRPr="00CC085B" w:rsidRDefault="004C3E31" w:rsidP="00CC085B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C085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Adaletli davranabilme</w:t>
            </w:r>
          </w:p>
        </w:tc>
      </w:tr>
      <w:tr w:rsidR="00BD1244" w:rsidRPr="00992E25" w:rsidTr="004420F2">
        <w:trPr>
          <w:trHeight w:val="957"/>
        </w:trPr>
        <w:tc>
          <w:tcPr>
            <w:tcW w:w="2679" w:type="dxa"/>
            <w:vAlign w:val="center"/>
          </w:tcPr>
          <w:p w:rsidR="00BD1244" w:rsidRPr="004C3E31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C3E3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Görevi İle İlgili Mevzuatlar</w:t>
            </w:r>
          </w:p>
        </w:tc>
        <w:tc>
          <w:tcPr>
            <w:tcW w:w="6966" w:type="dxa"/>
            <w:gridSpan w:val="5"/>
            <w:vAlign w:val="center"/>
          </w:tcPr>
          <w:p w:rsidR="004C3E31" w:rsidRPr="00CC085B" w:rsidRDefault="004C3E31" w:rsidP="00CC085B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C085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657 sayılı Devlet Memurları Kanunu</w:t>
            </w:r>
          </w:p>
          <w:p w:rsidR="004C3E31" w:rsidRPr="00CC085B" w:rsidRDefault="004C3E31" w:rsidP="00CC085B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C085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2547 sayılı Yükseköğretim Kanunu</w:t>
            </w:r>
          </w:p>
          <w:p w:rsidR="004C3E31" w:rsidRPr="00CC085B" w:rsidRDefault="004C3E31" w:rsidP="00CC085B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C085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2914 sayılı Yükseköğretim Personel Kanunu</w:t>
            </w:r>
          </w:p>
          <w:p w:rsidR="004C3E31" w:rsidRPr="00CC085B" w:rsidRDefault="004C3E31" w:rsidP="00CC085B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C085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Yükseköğretim Kurumları Öğrenci Disiplin Yönetmeliği</w:t>
            </w:r>
          </w:p>
          <w:p w:rsidR="004C3E31" w:rsidRPr="00CC085B" w:rsidRDefault="004C3E31" w:rsidP="00CC085B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C085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6245 sayılı Resmi Yazışmalarda Uygulanacak Usul ve Esaslar Hakkında Yönetmelik</w:t>
            </w:r>
          </w:p>
          <w:p w:rsidR="004C3E31" w:rsidRPr="00CC085B" w:rsidRDefault="004C3E31" w:rsidP="00CC085B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C085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6698 sayılı Kişisel Verilerin Korunması Kanunu</w:t>
            </w:r>
          </w:p>
          <w:p w:rsidR="004C3E31" w:rsidRPr="00CC085B" w:rsidRDefault="004C3E31" w:rsidP="00CC085B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C085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6331 sayılı İş Sağlığı ve Güvenliği Kanunu</w:t>
            </w:r>
          </w:p>
          <w:p w:rsidR="004C3E31" w:rsidRPr="00CC085B" w:rsidRDefault="004C3E31" w:rsidP="00CC085B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C085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Personel ve öğrencilerle ilgili tüm kanun ve yönetmelikler</w:t>
            </w:r>
          </w:p>
          <w:p w:rsidR="00BD1244" w:rsidRPr="00CC085B" w:rsidRDefault="004C3E31" w:rsidP="00CC085B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C085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KTÜ ve Fakülteye ilişkin yönetmelikler</w:t>
            </w:r>
          </w:p>
        </w:tc>
      </w:tr>
      <w:tr w:rsidR="00BD1244" w:rsidRPr="00992E25" w:rsidTr="004420F2">
        <w:trPr>
          <w:trHeight w:val="957"/>
        </w:trPr>
        <w:tc>
          <w:tcPr>
            <w:tcW w:w="2679" w:type="dxa"/>
            <w:vAlign w:val="center"/>
          </w:tcPr>
          <w:p w:rsidR="00BD1244" w:rsidRPr="004C3E31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C3E3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Diğer Görevlerle İlişkisi</w:t>
            </w:r>
          </w:p>
        </w:tc>
        <w:tc>
          <w:tcPr>
            <w:tcW w:w="6966" w:type="dxa"/>
            <w:gridSpan w:val="5"/>
            <w:vAlign w:val="center"/>
          </w:tcPr>
          <w:p w:rsidR="004C3E31" w:rsidRPr="00CC085B" w:rsidRDefault="004C3E31" w:rsidP="00CC085B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C085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Rektörlük (Rektör, Rektör Yardımcıları)</w:t>
            </w:r>
          </w:p>
          <w:p w:rsidR="004C3E31" w:rsidRPr="00CC085B" w:rsidRDefault="004C3E31" w:rsidP="00CC085B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C085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Rektörlüğe bağlı birimler (Genel Sekreterlik, Daire Başkanlıkları, Dekanlıklar)</w:t>
            </w:r>
          </w:p>
          <w:p w:rsidR="004C3E31" w:rsidRPr="00CC085B" w:rsidRDefault="004C3E31" w:rsidP="00CC085B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C085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Fakülte Sekreterliği</w:t>
            </w:r>
          </w:p>
          <w:p w:rsidR="004C3E31" w:rsidRPr="00CC085B" w:rsidRDefault="004C3E31" w:rsidP="00CC085B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C085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 xml:space="preserve">İdari Birimler </w:t>
            </w:r>
          </w:p>
          <w:p w:rsidR="00CC085B" w:rsidRDefault="004C3E31" w:rsidP="00CC085B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C085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Bölüm Başkanlıkları</w:t>
            </w:r>
          </w:p>
          <w:p w:rsidR="004C3E31" w:rsidRPr="00CC085B" w:rsidRDefault="004C3E31" w:rsidP="00CC085B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C085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Anabilim Dalı Başkanlıkları</w:t>
            </w:r>
          </w:p>
          <w:p w:rsidR="00BD1244" w:rsidRPr="00CC085B" w:rsidRDefault="004C3E31" w:rsidP="00CC085B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C085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lastRenderedPageBreak/>
              <w:t>Dış Paydaşlar</w:t>
            </w:r>
            <w:bookmarkStart w:id="0" w:name="_GoBack"/>
            <w:bookmarkEnd w:id="0"/>
          </w:p>
        </w:tc>
      </w:tr>
      <w:tr w:rsidR="00BD1244" w:rsidRPr="00992E25" w:rsidTr="004420F2">
        <w:trPr>
          <w:trHeight w:val="418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4C3E31" w:rsidRDefault="00BD1244" w:rsidP="004420F2">
            <w:pPr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4C3E31"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  <w:lastRenderedPageBreak/>
              <w:t>Bu dokümanda açıklanan görev tanımını okudum. Görevimi burada belirtilen kapsamda yerine getirmeyi kabul ediyorum.</w:t>
            </w:r>
          </w:p>
        </w:tc>
        <w:tc>
          <w:tcPr>
            <w:tcW w:w="3848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4C3E31" w:rsidRDefault="00BD1244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C3E3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ONAYLAYAN</w:t>
            </w:r>
          </w:p>
        </w:tc>
      </w:tr>
      <w:tr w:rsidR="00BD1244" w:rsidRPr="00992E25" w:rsidTr="004420F2">
        <w:trPr>
          <w:trHeight w:val="1045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4C3E31" w:rsidRDefault="00AA48F2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Doç. Dr. Fatih KIRKBİR</w:t>
            </w:r>
          </w:p>
          <w:p w:rsidR="00BD1244" w:rsidRPr="004C3E31" w:rsidRDefault="00BD1244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proofErr w:type="gramStart"/>
            <w:r w:rsidRPr="004C3E3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….</w:t>
            </w:r>
            <w:proofErr w:type="gramEnd"/>
            <w:r w:rsidRPr="004C3E3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/…./…….</w:t>
            </w:r>
          </w:p>
        </w:tc>
        <w:tc>
          <w:tcPr>
            <w:tcW w:w="3848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4C3E31" w:rsidRDefault="004C3E31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Prof. Dr. </w:t>
            </w:r>
            <w:proofErr w:type="spellStart"/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Bahittin</w:t>
            </w:r>
            <w:proofErr w:type="spellEnd"/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 KAHVECİ</w:t>
            </w:r>
          </w:p>
          <w:p w:rsidR="00BD1244" w:rsidRPr="004C3E31" w:rsidRDefault="00BD1244" w:rsidP="00CC085B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</w:p>
        </w:tc>
      </w:tr>
    </w:tbl>
    <w:p w:rsidR="00C67160" w:rsidRDefault="00C67160"/>
    <w:sectPr w:rsidR="00C67160" w:rsidSect="00AE5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20B05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234EF"/>
    <w:multiLevelType w:val="hybridMultilevel"/>
    <w:tmpl w:val="C6647E8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3360F"/>
    <w:multiLevelType w:val="hybridMultilevel"/>
    <w:tmpl w:val="1656230E"/>
    <w:lvl w:ilvl="0" w:tplc="041F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27D84D33"/>
    <w:multiLevelType w:val="multilevel"/>
    <w:tmpl w:val="C72695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A14B2D"/>
    <w:multiLevelType w:val="hybridMultilevel"/>
    <w:tmpl w:val="707EF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B6371"/>
    <w:multiLevelType w:val="hybridMultilevel"/>
    <w:tmpl w:val="4B3229A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35748"/>
    <w:multiLevelType w:val="hybridMultilevel"/>
    <w:tmpl w:val="56E0589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7581B"/>
    <w:multiLevelType w:val="multilevel"/>
    <w:tmpl w:val="A4AA85D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26"/>
    <w:rsid w:val="004605B9"/>
    <w:rsid w:val="004C3E31"/>
    <w:rsid w:val="00562FB8"/>
    <w:rsid w:val="00663626"/>
    <w:rsid w:val="00894C43"/>
    <w:rsid w:val="008F64E5"/>
    <w:rsid w:val="00AA48F2"/>
    <w:rsid w:val="00AE5977"/>
    <w:rsid w:val="00B7104B"/>
    <w:rsid w:val="00BD1244"/>
    <w:rsid w:val="00C67160"/>
    <w:rsid w:val="00C85753"/>
    <w:rsid w:val="00CC085B"/>
    <w:rsid w:val="00F0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2F37E-D816-4374-8D75-983DA0BB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2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60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Elif Yesir</cp:lastModifiedBy>
  <cp:revision>14</cp:revision>
  <dcterms:created xsi:type="dcterms:W3CDTF">2022-09-22T12:21:00Z</dcterms:created>
  <dcterms:modified xsi:type="dcterms:W3CDTF">2024-07-02T10:57:00Z</dcterms:modified>
</cp:coreProperties>
</file>