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8C7A9C" w:rsidP="008C7A9C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Mali İşler</w:t>
            </w:r>
            <w:r w:rsidR="00AD00B7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Birimi</w:t>
            </w:r>
            <w:r w:rsidR="00476B24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/Taşınır Kayıt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8C7A9C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Akın Kurt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213F59" w:rsidP="00C676B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Taşınır Kayıt Yetkilisi</w:t>
            </w:r>
            <w:r w:rsidR="00C676B9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 Arşiv Yetkilisi</w:t>
            </w:r>
            <w:r w:rsidR="00D014F3"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 w:rsidR="001A003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Bilgisayar İşletmeni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8C7A9C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Mustafa AĞIRMAN</w:t>
            </w:r>
          </w:p>
        </w:tc>
      </w:tr>
      <w:tr w:rsidR="00BD1244" w:rsidRPr="00794742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794742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Depoya gelen malzemeyi kontrol ederek teslim almak ve özelliklerine göre tasnif ederek depoya yerleştirmek.</w:t>
            </w:r>
          </w:p>
          <w:p w:rsidR="00AF0845" w:rsidRPr="00794742" w:rsidRDefault="00AF0845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Asgari </w:t>
            </w: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stok seviyesinin altına düşen taşınırları harcama yetkilisine bildirmek.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Depoları daima temiz ve düzenli tutmak.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Depolarla ilgili kayıtları usulüne uygun olarak tutmak.</w:t>
            </w:r>
            <w:proofErr w:type="gramEnd"/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Depolardaki demirbaş, kırtasiye ve diğer malzemelerin birimlere ve personele dağıtılmasını sağlamak.</w:t>
            </w:r>
            <w:proofErr w:type="gramEnd"/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Demirbaş malzemenin tahsis onaylarını almak, demirbaş eşya kayıt defterine işlemek ve odalara demirbaş listesini asmak.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Birimlerce iade edilen kullanılabilir demirbaş malzemeyi muhafaza etmek, 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Tamiri mümkün olmayan demirbaş malzemelerin kayıtlardan terkini, hurdaya ayrılan demirbaşların kayıtlardan düşürülerek imha edilmesini ya da tutanakla teslimini sağlamak. 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Birimlerin malzeme taleplerini ambar mevcuduna göre karşılamak, malzeme stok durumu hakkında amirlerine bilgi vermek.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Hibe yoluyla verilen malzemeleri kayıt altına almak ve birimlere dağıtılmasını sağlamak.</w:t>
            </w:r>
          </w:p>
          <w:p w:rsidR="00AF0845" w:rsidRPr="00794742" w:rsidRDefault="00AF0845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Görevi ile ilgili süreçleri mevzuat çerçevesinde, Rektörlük ilgili idari birimlerle koordine halinde Taşınır Mal Yönetmeliği’ne uygun olarak yürütmek.</w:t>
            </w:r>
          </w:p>
          <w:p w:rsidR="00213F59" w:rsidRPr="00794742" w:rsidRDefault="00794742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lastRenderedPageBreak/>
              <w:t>Yılsonunda</w:t>
            </w:r>
            <w:r w:rsidR="00213F59"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,  Taşınır Mal Yönetmeliğine uygun olarak, ayniyat giriş-çıkış kayıtlarının ve demirbaş eşyaların kesin hesaplarının hazırlayarak ilgili yerlere gönderilmesini sağlamak.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Az/çok kullanılan, ekonomik olan/olmayan malzemelerin tespit edilerek satın alma planlamasında dikkate almak.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Birimlerin sarf ve diğer malzeme taleplerinin planlanmasını ve periyodik olarak dağıtımını sağlamak. </w:t>
            </w:r>
            <w:proofErr w:type="gramEnd"/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Depoların düzeni, temizliği ve güvenliğini sağlamak, bu konuda gerekli tedbirleri almak.</w:t>
            </w:r>
            <w:proofErr w:type="gramEnd"/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Bürolardaki demirbaş eşyaların numaralanması ve kişilere zimmet edilmesini sağlamak.</w:t>
            </w:r>
            <w:proofErr w:type="gramEnd"/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Yasa ve yönetmeliklerdeki güncellemeleri takip ederek bilgilerini yenilemek.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Fakülteye ait her türlü bilgi ve belgeyi korumak 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</w:t>
            </w: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 Sekreterinin onayını alarak kişilere malzeme ve belge vermek.</w:t>
            </w:r>
            <w:proofErr w:type="gramEnd"/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>Taşınır Kayıt Kontrol ile ilgili bütün bilgilerin periyodik olarak yedeklenmesini, dosyalanmasını ve arşivlenmesini sağlamak.</w:t>
            </w:r>
          </w:p>
          <w:p w:rsidR="00213F59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AF0845" w:rsidRPr="00794742" w:rsidRDefault="00AF0845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 komisyon toplantılarına katılmak, verilen </w:t>
            </w:r>
            <w:r w:rsidR="00794742"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görevleri </w:t>
            </w: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yerine getirmek.</w:t>
            </w:r>
          </w:p>
          <w:p w:rsidR="00BD1244" w:rsidRPr="00794742" w:rsidRDefault="00213F59" w:rsidP="00794742">
            <w:pPr>
              <w:pStyle w:val="ListeParagraf"/>
              <w:numPr>
                <w:ilvl w:val="0"/>
                <w:numId w:val="3"/>
              </w:numPr>
              <w:spacing w:after="120" w:line="360" w:lineRule="atLeast"/>
              <w:ind w:left="175" w:hanging="175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 </w:t>
            </w:r>
            <w:r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Sekreterinin </w:t>
            </w:r>
            <w:r w:rsidR="00AF0845" w:rsidRPr="00794742">
              <w:rPr>
                <w:rFonts w:eastAsia="Calibri" w:cstheme="minorHAnsi"/>
                <w:color w:val="2F5496" w:themeColor="accent5" w:themeShade="BF"/>
                <w:sz w:val="24"/>
                <w:szCs w:val="24"/>
              </w:rPr>
              <w:t xml:space="preserve">vereceği diğer işleri yapmak. </w:t>
            </w:r>
            <w:proofErr w:type="gramEnd"/>
          </w:p>
        </w:tc>
      </w:tr>
      <w:tr w:rsidR="00BD1244" w:rsidRPr="00794742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794742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794742" w:rsidRDefault="00D014F3" w:rsidP="001853A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BD1244" w:rsidRPr="00794742" w:rsidRDefault="00D014F3" w:rsidP="001853A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  <w:p w:rsidR="00AF0845" w:rsidRPr="00794742" w:rsidRDefault="001853A3" w:rsidP="001853A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Mevzuat bilgisine sahip</w:t>
            </w:r>
          </w:p>
        </w:tc>
      </w:tr>
      <w:tr w:rsidR="00BD1244" w:rsidRPr="00794742" w:rsidTr="004420F2">
        <w:trPr>
          <w:trHeight w:val="957"/>
        </w:trPr>
        <w:tc>
          <w:tcPr>
            <w:tcW w:w="2679" w:type="dxa"/>
            <w:vAlign w:val="center"/>
          </w:tcPr>
          <w:p w:rsidR="00BD1244" w:rsidRPr="00794742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794742" w:rsidRDefault="00D014F3" w:rsidP="001853A3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794742" w:rsidRDefault="00D014F3" w:rsidP="001853A3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794742" w:rsidRDefault="00D014F3" w:rsidP="001853A3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1853A3" w:rsidRPr="00794742" w:rsidRDefault="001853A3" w:rsidP="001853A3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5018 sayılı Kamu Malî Yönetimi ve Kontrol Kanunu</w:t>
            </w:r>
          </w:p>
          <w:p w:rsidR="00D014F3" w:rsidRPr="00794742" w:rsidRDefault="00D014F3" w:rsidP="001853A3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BD1244" w:rsidRPr="00794742" w:rsidRDefault="001853A3" w:rsidP="001853A3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cstheme="minorHAnsi"/>
                <w:color w:val="2F5496" w:themeColor="accent5" w:themeShade="BF"/>
                <w:sz w:val="24"/>
                <w:szCs w:val="24"/>
              </w:rPr>
              <w:t>Maliye Bakanlığı Taşınır Kayıt Yönetim Sistemi</w:t>
            </w:r>
          </w:p>
        </w:tc>
      </w:tr>
      <w:tr w:rsidR="00BD1244" w:rsidRPr="00794742" w:rsidTr="004420F2">
        <w:trPr>
          <w:trHeight w:val="957"/>
        </w:trPr>
        <w:tc>
          <w:tcPr>
            <w:tcW w:w="2679" w:type="dxa"/>
            <w:vAlign w:val="center"/>
          </w:tcPr>
          <w:p w:rsidR="00BD1244" w:rsidRPr="00794742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794742" w:rsidRDefault="00D014F3" w:rsidP="001853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794742" w:rsidRDefault="00D014F3" w:rsidP="001853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794742" w:rsidRDefault="00D014F3" w:rsidP="001853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794742" w:rsidRDefault="00D014F3" w:rsidP="001853A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794742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794742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794742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794742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794742" w:rsidRDefault="00794742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Akın KURT</w:t>
            </w:r>
          </w:p>
          <w:p w:rsidR="00BD1244" w:rsidRPr="00794742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İmza</w:t>
            </w:r>
          </w:p>
          <w:p w:rsidR="00BD1244" w:rsidRPr="00794742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794742" w:rsidRDefault="00794742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794742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794742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İmza</w:t>
            </w:r>
          </w:p>
          <w:p w:rsidR="00BD1244" w:rsidRPr="00794742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Pr="00794742" w:rsidRDefault="00C67160">
      <w:pPr>
        <w:rPr>
          <w:rFonts w:cstheme="minorHAnsi"/>
          <w:sz w:val="24"/>
          <w:szCs w:val="24"/>
        </w:rPr>
      </w:pPr>
    </w:p>
    <w:sectPr w:rsidR="00C67160" w:rsidRPr="00794742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6A77"/>
    <w:multiLevelType w:val="hybridMultilevel"/>
    <w:tmpl w:val="3B103D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5CB"/>
    <w:multiLevelType w:val="multilevel"/>
    <w:tmpl w:val="0D1A11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D75A95"/>
    <w:multiLevelType w:val="hybridMultilevel"/>
    <w:tmpl w:val="B69886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1675"/>
    <w:multiLevelType w:val="hybridMultilevel"/>
    <w:tmpl w:val="8FC614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853A3"/>
    <w:rsid w:val="001A003F"/>
    <w:rsid w:val="00213F59"/>
    <w:rsid w:val="00476B24"/>
    <w:rsid w:val="00484D96"/>
    <w:rsid w:val="004E7348"/>
    <w:rsid w:val="00554DBA"/>
    <w:rsid w:val="00663626"/>
    <w:rsid w:val="006D1990"/>
    <w:rsid w:val="006D1BCB"/>
    <w:rsid w:val="00755519"/>
    <w:rsid w:val="00756236"/>
    <w:rsid w:val="00794742"/>
    <w:rsid w:val="0089002A"/>
    <w:rsid w:val="008C7A9C"/>
    <w:rsid w:val="009D3D16"/>
    <w:rsid w:val="00AD00B7"/>
    <w:rsid w:val="00AE1126"/>
    <w:rsid w:val="00AE5977"/>
    <w:rsid w:val="00AF0845"/>
    <w:rsid w:val="00B7104B"/>
    <w:rsid w:val="00BD1244"/>
    <w:rsid w:val="00C3655C"/>
    <w:rsid w:val="00C67160"/>
    <w:rsid w:val="00C676B9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14</cp:revision>
  <dcterms:created xsi:type="dcterms:W3CDTF">2023-03-13T11:32:00Z</dcterms:created>
  <dcterms:modified xsi:type="dcterms:W3CDTF">2024-07-03T07:25:00Z</dcterms:modified>
</cp:coreProperties>
</file>