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9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559"/>
        <w:gridCol w:w="1147"/>
        <w:gridCol w:w="412"/>
        <w:gridCol w:w="1666"/>
        <w:gridCol w:w="2182"/>
      </w:tblGrid>
      <w:tr w:rsidR="00BD1244" w:rsidRPr="00992E25" w:rsidTr="008015EA">
        <w:trPr>
          <w:trHeight w:val="967"/>
        </w:trPr>
        <w:tc>
          <w:tcPr>
            <w:tcW w:w="2679" w:type="dxa"/>
            <w:vMerge w:val="restart"/>
          </w:tcPr>
          <w:p w:rsidR="00BD1244" w:rsidRPr="00992E25" w:rsidRDefault="00BD1244" w:rsidP="008015EA">
            <w:pPr>
              <w:ind w:right="-290"/>
              <w:rPr>
                <w:rFonts w:ascii="Hurme Geometric Sans 1" w:eastAsia="Calibri" w:hAnsi="Hurme Geometric Sans 1" w:cs="Times New Roman"/>
                <w:i/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45218B1" wp14:editId="0C8A445A">
                  <wp:extent cx="1504950" cy="838200"/>
                  <wp:effectExtent l="0" t="0" r="0" b="0"/>
                  <wp:docPr id="587" name="Resim 587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8015EA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BİRİM ADI</w:t>
            </w:r>
          </w:p>
        </w:tc>
        <w:tc>
          <w:tcPr>
            <w:tcW w:w="2182" w:type="dxa"/>
            <w:vMerge w:val="restart"/>
          </w:tcPr>
          <w:p w:rsidR="00BD1244" w:rsidRPr="00CE4AAD" w:rsidRDefault="002F50D2" w:rsidP="008015EA">
            <w:pPr>
              <w:ind w:right="-290"/>
              <w:rPr>
                <w:rFonts w:ascii="Hurme Geometric Sans 1" w:eastAsia="Times New Roman" w:hAnsi="Hurme Geometric Sans 1" w:cs="Times New Roman"/>
                <w:bCs/>
                <w:color w:val="2E74B5" w:themeColor="accent1" w:themeShade="BF"/>
                <w:sz w:val="28"/>
                <w:szCs w:val="28"/>
                <w:lang w:eastAsia="tr-TR"/>
              </w:rPr>
            </w:pPr>
            <w:r w:rsidRPr="002F50D2">
              <w:rPr>
                <w:rFonts w:ascii="Hurme Geometric Sans 1" w:eastAsia="Times New Roman" w:hAnsi="Hurme Geometric Sans 1" w:cs="Times New Roman"/>
                <w:bCs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54088667" wp14:editId="4FF6E9B8">
                  <wp:extent cx="1288111" cy="882015"/>
                  <wp:effectExtent l="0" t="0" r="7620" b="0"/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946" cy="889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44" w:rsidRPr="00992E25" w:rsidTr="008015EA">
        <w:trPr>
          <w:trHeight w:val="681"/>
        </w:trPr>
        <w:tc>
          <w:tcPr>
            <w:tcW w:w="2679" w:type="dxa"/>
            <w:vMerge/>
          </w:tcPr>
          <w:p w:rsidR="00BD1244" w:rsidRPr="00992E25" w:rsidRDefault="00BD1244" w:rsidP="008015EA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8015EA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>PERSONEL GÖREV TANIM FORMU</w:t>
            </w:r>
          </w:p>
        </w:tc>
        <w:tc>
          <w:tcPr>
            <w:tcW w:w="2182" w:type="dxa"/>
            <w:vMerge/>
          </w:tcPr>
          <w:p w:rsidR="00BD1244" w:rsidRPr="00992E25" w:rsidRDefault="00BD1244" w:rsidP="008015EA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</w:tr>
      <w:tr w:rsidR="00BD1244" w:rsidRPr="00992E25" w:rsidTr="002F50D2">
        <w:trPr>
          <w:trHeight w:val="385"/>
        </w:trPr>
        <w:tc>
          <w:tcPr>
            <w:tcW w:w="2679" w:type="dxa"/>
            <w:vAlign w:val="center"/>
          </w:tcPr>
          <w:p w:rsidR="00BD1244" w:rsidRPr="002F028A" w:rsidRDefault="00BD1244" w:rsidP="008015EA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Dok. Kodu: İK</w:t>
            </w:r>
            <w:r w:rsidRPr="002F028A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. FR. 01</w:t>
            </w:r>
          </w:p>
        </w:tc>
        <w:tc>
          <w:tcPr>
            <w:tcW w:w="1559" w:type="dxa"/>
            <w:vAlign w:val="center"/>
          </w:tcPr>
          <w:p w:rsidR="00BD1244" w:rsidRPr="002F028A" w:rsidRDefault="00BD1244" w:rsidP="008015EA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Yay. Tar: </w:t>
            </w:r>
            <w:r w:rsidR="002F50D2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01.04.2023</w:t>
            </w:r>
          </w:p>
        </w:tc>
        <w:tc>
          <w:tcPr>
            <w:tcW w:w="1147" w:type="dxa"/>
            <w:vAlign w:val="center"/>
          </w:tcPr>
          <w:p w:rsidR="00BD1244" w:rsidRPr="002F028A" w:rsidRDefault="00BD1244" w:rsidP="008015EA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Revizyon No: </w:t>
            </w:r>
          </w:p>
        </w:tc>
        <w:tc>
          <w:tcPr>
            <w:tcW w:w="2078" w:type="dxa"/>
            <w:gridSpan w:val="2"/>
            <w:vAlign w:val="center"/>
          </w:tcPr>
          <w:p w:rsidR="00BD1244" w:rsidRPr="002F028A" w:rsidRDefault="00BD1244" w:rsidP="008015EA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proofErr w:type="spellStart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. Tar: </w:t>
            </w:r>
          </w:p>
        </w:tc>
        <w:tc>
          <w:tcPr>
            <w:tcW w:w="2182" w:type="dxa"/>
            <w:vAlign w:val="center"/>
          </w:tcPr>
          <w:p w:rsidR="00BD1244" w:rsidRPr="002F028A" w:rsidRDefault="002F50D2" w:rsidP="008015EA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Sayfa Sayısı: 03</w:t>
            </w:r>
          </w:p>
        </w:tc>
      </w:tr>
      <w:tr w:rsidR="00BD1244" w:rsidRPr="0041731B" w:rsidTr="008015EA">
        <w:trPr>
          <w:trHeight w:val="552"/>
        </w:trPr>
        <w:tc>
          <w:tcPr>
            <w:tcW w:w="2679" w:type="dxa"/>
            <w:vAlign w:val="center"/>
          </w:tcPr>
          <w:p w:rsidR="00BD1244" w:rsidRPr="0041731B" w:rsidRDefault="00BD1244" w:rsidP="008015EA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41731B" w:rsidRDefault="00B7104B" w:rsidP="004770C1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Sağlık Bilimleri Fakültesi</w:t>
            </w:r>
          </w:p>
        </w:tc>
      </w:tr>
      <w:tr w:rsidR="00BD1244" w:rsidRPr="0041731B" w:rsidTr="008015EA">
        <w:trPr>
          <w:trHeight w:val="552"/>
        </w:trPr>
        <w:tc>
          <w:tcPr>
            <w:tcW w:w="2679" w:type="dxa"/>
            <w:vAlign w:val="center"/>
          </w:tcPr>
          <w:p w:rsidR="00BD1244" w:rsidRPr="0041731B" w:rsidRDefault="00BD1244" w:rsidP="008015EA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Alt 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41731B" w:rsidRDefault="000F0B40" w:rsidP="004770C1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Çocuk Gelişimi Bölümü</w:t>
            </w:r>
          </w:p>
        </w:tc>
      </w:tr>
      <w:tr w:rsidR="00BD1244" w:rsidRPr="0041731B" w:rsidTr="008015EA">
        <w:trPr>
          <w:trHeight w:val="552"/>
        </w:trPr>
        <w:tc>
          <w:tcPr>
            <w:tcW w:w="2679" w:type="dxa"/>
            <w:vAlign w:val="center"/>
          </w:tcPr>
          <w:p w:rsidR="00BD1244" w:rsidRPr="0041731B" w:rsidRDefault="00BD1244" w:rsidP="008015EA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Personel Adı Soyadı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41731B" w:rsidRDefault="000F0B40" w:rsidP="004770C1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İlknur KAHRİMAN</w:t>
            </w:r>
          </w:p>
        </w:tc>
      </w:tr>
      <w:tr w:rsidR="00BD1244" w:rsidRPr="0041731B" w:rsidTr="008015EA">
        <w:trPr>
          <w:trHeight w:val="552"/>
        </w:trPr>
        <w:tc>
          <w:tcPr>
            <w:tcW w:w="2679" w:type="dxa"/>
            <w:vAlign w:val="center"/>
          </w:tcPr>
          <w:p w:rsidR="00BD1244" w:rsidRPr="0041731B" w:rsidRDefault="00BD1244" w:rsidP="008015EA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Görev/Kadro Unvanı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41731B" w:rsidRDefault="00AA5949" w:rsidP="004770C1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Bölüm Başkanı/Doç. Dr.</w:t>
            </w:r>
          </w:p>
        </w:tc>
      </w:tr>
      <w:tr w:rsidR="00BD1244" w:rsidRPr="0041731B" w:rsidTr="008015EA">
        <w:trPr>
          <w:trHeight w:val="642"/>
        </w:trPr>
        <w:tc>
          <w:tcPr>
            <w:tcW w:w="2679" w:type="dxa"/>
            <w:vAlign w:val="center"/>
          </w:tcPr>
          <w:p w:rsidR="00BD1244" w:rsidRPr="0041731B" w:rsidRDefault="00BD1244" w:rsidP="008015EA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Bağlı Olduğu Yönetici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41731B" w:rsidRDefault="008B1C39" w:rsidP="004770C1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Dekan</w:t>
            </w:r>
          </w:p>
        </w:tc>
      </w:tr>
      <w:tr w:rsidR="00BD1244" w:rsidRPr="0041731B" w:rsidTr="008015EA">
        <w:trPr>
          <w:trHeight w:val="642"/>
        </w:trPr>
        <w:tc>
          <w:tcPr>
            <w:tcW w:w="2679" w:type="dxa"/>
            <w:vAlign w:val="center"/>
          </w:tcPr>
          <w:p w:rsidR="00BD1244" w:rsidRPr="0041731B" w:rsidRDefault="00BD1244" w:rsidP="008015EA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Vekâlet Edecek Personel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41731B" w:rsidRDefault="004770C1" w:rsidP="004770C1">
            <w:pPr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  <w:t>-----</w:t>
            </w:r>
          </w:p>
        </w:tc>
      </w:tr>
      <w:tr w:rsidR="00BD1244" w:rsidRPr="0041731B" w:rsidTr="008015EA">
        <w:trPr>
          <w:trHeight w:val="1045"/>
        </w:trPr>
        <w:tc>
          <w:tcPr>
            <w:tcW w:w="2679" w:type="dxa"/>
            <w:vAlign w:val="center"/>
          </w:tcPr>
          <w:p w:rsidR="00BD1244" w:rsidRPr="0041731B" w:rsidRDefault="00BD1244" w:rsidP="008015EA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Temel Görev Ve Sorumlulukları</w:t>
            </w:r>
          </w:p>
        </w:tc>
        <w:tc>
          <w:tcPr>
            <w:tcW w:w="6966" w:type="dxa"/>
            <w:gridSpan w:val="5"/>
            <w:vAlign w:val="center"/>
          </w:tcPr>
          <w:p w:rsidR="004B6776" w:rsidRPr="0041731B" w:rsidRDefault="004B6776" w:rsidP="0041731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>Bölümün alanına uygun anabilim dallarının kurulmasını sağlamak.</w:t>
            </w:r>
            <w:proofErr w:type="gramEnd"/>
          </w:p>
          <w:p w:rsidR="004B6776" w:rsidRPr="0041731B" w:rsidRDefault="004B6776" w:rsidP="0041731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>Bölümün eğitim-öğretim ve araştırma faaliyetlerinin düzenli yürütülmesini sağlamak.</w:t>
            </w:r>
          </w:p>
          <w:p w:rsidR="004B6776" w:rsidRPr="0041731B" w:rsidRDefault="004B6776" w:rsidP="0041731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>Kaynakların etkili, verimli ve ekonomik olarak kullanılmasını sağlamak.</w:t>
            </w:r>
            <w:proofErr w:type="gramEnd"/>
          </w:p>
          <w:p w:rsidR="004B6776" w:rsidRPr="0041731B" w:rsidRDefault="004B6776" w:rsidP="0041731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Kurulu toplantılarında bölümü temsil etmek.</w:t>
            </w:r>
            <w:proofErr w:type="gramEnd"/>
          </w:p>
          <w:p w:rsidR="004B6776" w:rsidRPr="0041731B" w:rsidRDefault="004B6776" w:rsidP="0041731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>Bölümle ilgili gelişmeleri takip etmek, yaşanan sorunları çözmek için gerekli toplantıları yapmak.</w:t>
            </w:r>
          </w:p>
          <w:p w:rsidR="004B6776" w:rsidRPr="0041731B" w:rsidRDefault="004B6776" w:rsidP="0041731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>Bölümün kadro ve öğretim elemanı ihtiyacını planlayarak dekanlığa sunmak.</w:t>
            </w:r>
            <w:proofErr w:type="gramEnd"/>
          </w:p>
          <w:p w:rsidR="004B6776" w:rsidRPr="0041731B" w:rsidRDefault="004B6776" w:rsidP="0041731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>Akademik personelin performansını izleyerek dekanlığa bilgi vermek.</w:t>
            </w:r>
            <w:proofErr w:type="gramEnd"/>
          </w:p>
          <w:p w:rsidR="004B6776" w:rsidRPr="0041731B" w:rsidRDefault="004B6776" w:rsidP="0041731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>Bölümde görevli elemanları izlemek ve görevlerini tam olarak yapmalarını sağlamak.</w:t>
            </w:r>
            <w:proofErr w:type="gramEnd"/>
          </w:p>
          <w:p w:rsidR="004B6776" w:rsidRPr="0041731B" w:rsidRDefault="004B6776" w:rsidP="0041731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Bölümün faaliyet, stratejik plan ve performans </w:t>
            </w:r>
            <w:proofErr w:type="gramStart"/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>kriterlerini</w:t>
            </w:r>
            <w:proofErr w:type="gramEnd"/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hazırlamak.</w:t>
            </w:r>
          </w:p>
          <w:p w:rsidR="004B6776" w:rsidRPr="0041731B" w:rsidRDefault="004B6776" w:rsidP="0041731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>Bitirme tezlerini ve lisansüstü tezlerini izlemek.</w:t>
            </w:r>
          </w:p>
          <w:p w:rsidR="004B6776" w:rsidRPr="0041731B" w:rsidRDefault="004B6776" w:rsidP="0041731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>Lisansüstü sınavlarına başvuran adayların sınavlarının yapılmasını sağlamak ve danışmanlıklarını uygun şekilde dağıtmak.</w:t>
            </w:r>
            <w:proofErr w:type="gramEnd"/>
          </w:p>
          <w:p w:rsidR="004B6776" w:rsidRPr="0041731B" w:rsidRDefault="004B6776" w:rsidP="0041731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>Raporlu ve izinli öğrencilerin durumlarını değerlendirmek.</w:t>
            </w:r>
            <w:proofErr w:type="gramEnd"/>
          </w:p>
          <w:p w:rsidR="004B6776" w:rsidRPr="0041731B" w:rsidRDefault="004B6776" w:rsidP="0041731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>Engelli ve yabancı uyruklu öğrencilerin sorunları ile ilgilenmek.</w:t>
            </w:r>
          </w:p>
          <w:p w:rsidR="004B6776" w:rsidRPr="0041731B" w:rsidRDefault="004B6776" w:rsidP="0041731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Ders programlarının ve sınav programlarının yapılmasını ve öğretim elemanları ile öğrencilere duyurulmasını sağlamak. </w:t>
            </w:r>
          </w:p>
          <w:p w:rsidR="004B6776" w:rsidRPr="0041731B" w:rsidRDefault="004B6776" w:rsidP="0041731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>Ders programının ve ders görevlendirmelerinin adil, objektif ve öğretim elemanlarının bilim alanlarına uygun olarak yapılmasını sağlamak.</w:t>
            </w:r>
            <w:proofErr w:type="gramEnd"/>
          </w:p>
          <w:p w:rsidR="004B6776" w:rsidRPr="0041731B" w:rsidRDefault="004B6776" w:rsidP="0041731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>Bilgi paket</w:t>
            </w:r>
            <w:r w:rsid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>lerinin her dönem başında h</w:t>
            </w:r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>azırlanması</w:t>
            </w:r>
            <w:r w:rsid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veya güncellenmesini sağlamak.</w:t>
            </w:r>
            <w:proofErr w:type="gramEnd"/>
          </w:p>
          <w:p w:rsidR="004B6776" w:rsidRPr="0041731B" w:rsidRDefault="004B6776" w:rsidP="0041731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lastRenderedPageBreak/>
              <w:t>Bölüm WEB sayfası iç</w:t>
            </w:r>
            <w:r w:rsid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>eriğinin hazırlanması ve güncel tutulmasını</w:t>
            </w:r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sağlamak.</w:t>
            </w:r>
            <w:proofErr w:type="gramEnd"/>
          </w:p>
          <w:p w:rsidR="0041731B" w:rsidRPr="00022E47" w:rsidRDefault="0041731B" w:rsidP="0041731B">
            <w:pPr>
              <w:pStyle w:val="ListeParagraf"/>
              <w:numPr>
                <w:ilvl w:val="0"/>
                <w:numId w:val="6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Ek ders ödemelerine esas teşkil eden F1 ve F2 formlarını </w:t>
            </w:r>
            <w:proofErr w:type="spellStart"/>
            <w:r w:rsidRPr="00445671">
              <w:rPr>
                <w:rFonts w:cstheme="minorHAnsi"/>
                <w:color w:val="2F5496" w:themeColor="accent5" w:themeShade="BF"/>
                <w:sz w:val="24"/>
                <w:szCs w:val="24"/>
              </w:rPr>
              <w:t>BYS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’de</w:t>
            </w:r>
            <w:proofErr w:type="spellEnd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oluşturarak ders görevlendirmesi olan öğretim elemanlarının </w:t>
            </w:r>
            <w:proofErr w:type="spellStart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BYS’lerine</w:t>
            </w:r>
            <w:proofErr w:type="spellEnd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aktarmak, öğretim elemanları tarafından kontrol edildikten </w:t>
            </w:r>
            <w:proofErr w:type="gramStart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sonra  </w:t>
            </w:r>
            <w:proofErr w:type="spellStart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BYS’den</w:t>
            </w:r>
            <w:proofErr w:type="spellEnd"/>
            <w:proofErr w:type="gramEnd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EBYS’ye</w:t>
            </w:r>
            <w:proofErr w:type="spellEnd"/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aktarılan formları elektronik olarak imzalamak ve dekanlığa havale etmek.</w:t>
            </w:r>
          </w:p>
          <w:p w:rsidR="004B6776" w:rsidRPr="0041731B" w:rsidRDefault="004B6776" w:rsidP="0041731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>Bilimsel toplantılar düzenlemek, öğretim elemanlarının ulusal ve uluslararası faaliyetlere katılmalarını teşvik etmek.</w:t>
            </w:r>
          </w:p>
          <w:p w:rsidR="004B6776" w:rsidRDefault="004B6776" w:rsidP="0041731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>Öğretim elemanlarının görev sürelerinin izlenmesi ve uzatılması ile ilgili işlemleri yürütülmesini sağlamak.</w:t>
            </w:r>
          </w:p>
          <w:p w:rsidR="0041731B" w:rsidRPr="00722252" w:rsidRDefault="0041731B" w:rsidP="0041731B">
            <w:pPr>
              <w:pStyle w:val="ListeParagraf"/>
              <w:numPr>
                <w:ilvl w:val="0"/>
                <w:numId w:val="7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AC17D6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Fakülte ve bölüm komisyonlarındaki sorumlulukları yerine getirmek, Bölüm komisyonlarının yıllık faaliyetleri hakkında 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Dekanlığı</w:t>
            </w:r>
            <w:r w:rsidR="00307974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bilgilendirmek.</w:t>
            </w:r>
          </w:p>
          <w:p w:rsidR="004B6776" w:rsidRPr="0041731B" w:rsidRDefault="004B6776" w:rsidP="0041731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spellStart"/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>Erasmus</w:t>
            </w:r>
            <w:proofErr w:type="spellEnd"/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>, Farabi ve Mevlana değişim programları ile ilgili faaliyetleri yürütmek.</w:t>
            </w:r>
          </w:p>
          <w:p w:rsidR="004B6776" w:rsidRPr="0041731B" w:rsidRDefault="004B6776" w:rsidP="0041731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Fakültenin etik kurallarına uymak, iç kontrol çalışmalarına katılmak, hassas ve riskli görevlerin dikkate alınmasını sağlamak.</w:t>
            </w:r>
          </w:p>
          <w:p w:rsidR="00BD1244" w:rsidRPr="0041731B" w:rsidRDefault="004B6776" w:rsidP="0041731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cstheme="minorHAnsi"/>
                <w:color w:val="2F5496" w:themeColor="accent5" w:themeShade="BF"/>
                <w:sz w:val="24"/>
                <w:szCs w:val="24"/>
              </w:rPr>
              <w:t>Dekan ve Dekan Yardımcısının vereceği diğer görevleri yerine getirmek.</w:t>
            </w:r>
          </w:p>
        </w:tc>
      </w:tr>
      <w:tr w:rsidR="00BD1244" w:rsidRPr="0041731B" w:rsidTr="008015EA">
        <w:trPr>
          <w:trHeight w:val="1045"/>
        </w:trPr>
        <w:tc>
          <w:tcPr>
            <w:tcW w:w="2679" w:type="dxa"/>
            <w:vAlign w:val="center"/>
          </w:tcPr>
          <w:p w:rsidR="00BD1244" w:rsidRPr="0041731B" w:rsidRDefault="00BD1244" w:rsidP="008015EA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lastRenderedPageBreak/>
              <w:t>Görev İçin Gerekli Beceri ve Yetenekler</w:t>
            </w:r>
          </w:p>
        </w:tc>
        <w:tc>
          <w:tcPr>
            <w:tcW w:w="6966" w:type="dxa"/>
            <w:gridSpan w:val="5"/>
            <w:vAlign w:val="center"/>
          </w:tcPr>
          <w:p w:rsidR="002F50D2" w:rsidRPr="0041731B" w:rsidRDefault="002F50D2" w:rsidP="0041731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Vizyon sahibi olma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Hızlı düşünebilme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Çözüm odaklı olma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Değişim ve gelişime açık olma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Yöneticilik özellikleri taşıma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Teknolojik aletleri kullanabilme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İletişim becerisine sahip olma</w:t>
            </w:r>
          </w:p>
          <w:p w:rsidR="00BD1244" w:rsidRPr="0041731B" w:rsidRDefault="002F50D2" w:rsidP="0041731B">
            <w:pPr>
              <w:pStyle w:val="ListeParagraf"/>
              <w:numPr>
                <w:ilvl w:val="0"/>
                <w:numId w:val="3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Adaletli davranabilme</w:t>
            </w:r>
          </w:p>
        </w:tc>
      </w:tr>
      <w:tr w:rsidR="00BD1244" w:rsidRPr="0041731B" w:rsidTr="008015EA">
        <w:trPr>
          <w:trHeight w:val="957"/>
        </w:trPr>
        <w:tc>
          <w:tcPr>
            <w:tcW w:w="2679" w:type="dxa"/>
            <w:vAlign w:val="center"/>
          </w:tcPr>
          <w:p w:rsidR="00BD1244" w:rsidRPr="0041731B" w:rsidRDefault="00BD1244" w:rsidP="008015EA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Görevi İle İlgili Mevzuatlar</w:t>
            </w:r>
          </w:p>
        </w:tc>
        <w:tc>
          <w:tcPr>
            <w:tcW w:w="6966" w:type="dxa"/>
            <w:gridSpan w:val="5"/>
            <w:vAlign w:val="center"/>
          </w:tcPr>
          <w:p w:rsidR="002F50D2" w:rsidRPr="0041731B" w:rsidRDefault="002F50D2" w:rsidP="0041731B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657 sayılı Devlet Memurları Kanunu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2547 sayılı Yükseköğretim Kanunu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2914 sayılı Yükseköğretim Personel Kanunu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Yükseköğretim Kurumları Öğrenci Disiplin Yönetmeliği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6245 sayılı Resmi Yazışmalarda Uygulanacak Usul ve Esaslar Hakkında Yönetmelik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6698 sayılı Kişisel Verilerin Korunması Kanunu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6331 sayılı İş Sağlığı ve Güvenliği Kanunu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Personel ve öğrencilerle ilgili tüm kanun ve yönetmelikler</w:t>
            </w:r>
          </w:p>
          <w:p w:rsidR="00BD1244" w:rsidRPr="0041731B" w:rsidRDefault="002F50D2" w:rsidP="0041731B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KTÜ ve Fakülteye ilişkin yönetmelikler</w:t>
            </w:r>
          </w:p>
        </w:tc>
      </w:tr>
      <w:tr w:rsidR="00BD1244" w:rsidRPr="0041731B" w:rsidTr="008015EA">
        <w:trPr>
          <w:trHeight w:val="957"/>
        </w:trPr>
        <w:tc>
          <w:tcPr>
            <w:tcW w:w="2679" w:type="dxa"/>
            <w:vAlign w:val="center"/>
          </w:tcPr>
          <w:p w:rsidR="00BD1244" w:rsidRPr="0041731B" w:rsidRDefault="00BD1244" w:rsidP="008015EA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Diğer Görevlerle İlişkisi</w:t>
            </w:r>
          </w:p>
        </w:tc>
        <w:tc>
          <w:tcPr>
            <w:tcW w:w="6966" w:type="dxa"/>
            <w:gridSpan w:val="5"/>
            <w:vAlign w:val="center"/>
          </w:tcPr>
          <w:p w:rsidR="002F50D2" w:rsidRPr="0041731B" w:rsidRDefault="002F50D2" w:rsidP="0041731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Rektörlük (Rektör, Rektör Yardımcıları)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Rektörlüğe bağlı birimler (Genel Sekreterlik, Daire Başkanlıkları, Dekanlıklar)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Fakülte Sekreterliği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 xml:space="preserve">İdari Birimler </w:t>
            </w:r>
          </w:p>
          <w:p w:rsidR="0041731B" w:rsidRDefault="0041731B" w:rsidP="0041731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Bölüm Başkanlıkları</w:t>
            </w:r>
          </w:p>
          <w:p w:rsidR="002F50D2" w:rsidRPr="0041731B" w:rsidRDefault="002F50D2" w:rsidP="0041731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Anabilim Dalı Başkanlıkları</w:t>
            </w:r>
          </w:p>
          <w:p w:rsidR="00BD1244" w:rsidRPr="0041731B" w:rsidRDefault="002F50D2" w:rsidP="0041731B">
            <w:pPr>
              <w:pStyle w:val="ListeParagraf"/>
              <w:numPr>
                <w:ilvl w:val="0"/>
                <w:numId w:val="5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lastRenderedPageBreak/>
              <w:t>Dış Paydaşlar</w:t>
            </w:r>
          </w:p>
        </w:tc>
      </w:tr>
      <w:tr w:rsidR="00BD1244" w:rsidRPr="0041731B" w:rsidTr="008015EA">
        <w:trPr>
          <w:trHeight w:val="418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41731B" w:rsidRDefault="00BD1244" w:rsidP="008015EA">
            <w:pPr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  <w:lastRenderedPageBreak/>
              <w:t>Bu dokümanda açıklanan görev tanımını okudum. Görevimi burada belirtilen kapsamda yerine getirmeyi kabul ediyorum.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41731B" w:rsidRDefault="00BD1244" w:rsidP="008015EA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ONAYLAYAN</w:t>
            </w:r>
          </w:p>
        </w:tc>
      </w:tr>
      <w:tr w:rsidR="00BD1244" w:rsidRPr="0041731B" w:rsidTr="008015EA">
        <w:trPr>
          <w:trHeight w:val="1045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41731B" w:rsidRDefault="002F50D2" w:rsidP="008015EA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Doç. Dr. İlknur KAHRİMAN</w:t>
            </w:r>
          </w:p>
          <w:p w:rsidR="00BD1244" w:rsidRPr="0041731B" w:rsidRDefault="00BD1244" w:rsidP="008015EA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proofErr w:type="gramStart"/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….</w:t>
            </w:r>
            <w:proofErr w:type="gramEnd"/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/…./…….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41731B" w:rsidRDefault="002F50D2" w:rsidP="008015EA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Prof. Dr. </w:t>
            </w:r>
            <w:proofErr w:type="spellStart"/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Bahittin</w:t>
            </w:r>
            <w:proofErr w:type="spellEnd"/>
            <w:r w:rsidRPr="0041731B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 KAHVECİ</w:t>
            </w:r>
          </w:p>
          <w:p w:rsidR="00BD1244" w:rsidRPr="0041731B" w:rsidRDefault="00BD1244" w:rsidP="0041731B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</w:tr>
    </w:tbl>
    <w:p w:rsidR="00C67160" w:rsidRPr="0041731B" w:rsidRDefault="00C67160">
      <w:pPr>
        <w:rPr>
          <w:rFonts w:cstheme="minorHAnsi"/>
          <w:sz w:val="24"/>
          <w:szCs w:val="24"/>
        </w:rPr>
      </w:pPr>
    </w:p>
    <w:sectPr w:rsidR="00C67160" w:rsidRPr="0041731B" w:rsidSect="00AE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20B05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50B"/>
    <w:multiLevelType w:val="hybridMultilevel"/>
    <w:tmpl w:val="6C58050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3360F"/>
    <w:multiLevelType w:val="hybridMultilevel"/>
    <w:tmpl w:val="1656230E"/>
    <w:lvl w:ilvl="0" w:tplc="041F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27D84D33"/>
    <w:multiLevelType w:val="multilevel"/>
    <w:tmpl w:val="C72695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107303"/>
    <w:multiLevelType w:val="hybridMultilevel"/>
    <w:tmpl w:val="1E6C5F0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B7DE9"/>
    <w:multiLevelType w:val="hybridMultilevel"/>
    <w:tmpl w:val="653621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769FD"/>
    <w:multiLevelType w:val="hybridMultilevel"/>
    <w:tmpl w:val="D56AFB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057D0"/>
    <w:multiLevelType w:val="hybridMultilevel"/>
    <w:tmpl w:val="317E1BE0"/>
    <w:lvl w:ilvl="0" w:tplc="041F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26"/>
    <w:rsid w:val="000F0B40"/>
    <w:rsid w:val="00176D5E"/>
    <w:rsid w:val="00213E55"/>
    <w:rsid w:val="002F50D2"/>
    <w:rsid w:val="00307974"/>
    <w:rsid w:val="0041731B"/>
    <w:rsid w:val="004770C1"/>
    <w:rsid w:val="004A404C"/>
    <w:rsid w:val="004B6776"/>
    <w:rsid w:val="00663626"/>
    <w:rsid w:val="00760EC6"/>
    <w:rsid w:val="008015EA"/>
    <w:rsid w:val="008B1C39"/>
    <w:rsid w:val="00AA5949"/>
    <w:rsid w:val="00AE5977"/>
    <w:rsid w:val="00B7104B"/>
    <w:rsid w:val="00BD1244"/>
    <w:rsid w:val="00C67160"/>
    <w:rsid w:val="00CE4AAD"/>
    <w:rsid w:val="00D920A6"/>
    <w:rsid w:val="00F2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2F37E-D816-4374-8D75-983DA0BB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6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Elif Yesir</cp:lastModifiedBy>
  <cp:revision>20</cp:revision>
  <dcterms:created xsi:type="dcterms:W3CDTF">2022-09-22T10:33:00Z</dcterms:created>
  <dcterms:modified xsi:type="dcterms:W3CDTF">2024-07-02T10:55:00Z</dcterms:modified>
</cp:coreProperties>
</file>