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5D1" w:rsidRPr="000A12EC" w:rsidRDefault="003B25D1" w:rsidP="003B25D1">
      <w:pPr>
        <w:spacing w:after="0" w:line="360" w:lineRule="auto"/>
        <w:jc w:val="center"/>
        <w:rPr>
          <w:rFonts w:ascii="Times-Roman" w:hAnsi="Times-Roman"/>
          <w:color w:val="131413"/>
          <w:sz w:val="24"/>
          <w:szCs w:val="24"/>
          <w:lang w:val="en-US"/>
        </w:rPr>
      </w:pPr>
    </w:p>
    <w:p w:rsidR="000F34A0" w:rsidRDefault="000F34A0" w:rsidP="000A12EC">
      <w:pPr>
        <w:spacing w:after="0" w:line="360" w:lineRule="auto"/>
        <w:jc w:val="center"/>
        <w:rPr>
          <w:rFonts w:ascii="Times-Roman" w:hAnsi="Times-Roman"/>
          <w:b/>
          <w:color w:val="131413"/>
          <w:sz w:val="24"/>
          <w:szCs w:val="24"/>
          <w:lang w:val="en-US"/>
        </w:rPr>
      </w:pPr>
    </w:p>
    <w:p w:rsidR="00CB7343" w:rsidRDefault="004C6DC3" w:rsidP="000A12EC">
      <w:pPr>
        <w:spacing w:after="0" w:line="360" w:lineRule="auto"/>
        <w:jc w:val="center"/>
        <w:rPr>
          <w:rFonts w:ascii="Times-Roman" w:hAnsi="Times-Roman"/>
          <w:b/>
          <w:color w:val="131413"/>
          <w:sz w:val="24"/>
          <w:szCs w:val="24"/>
          <w:lang w:val="en-US"/>
        </w:rPr>
      </w:pPr>
      <w:r w:rsidRPr="004C6DC3">
        <w:rPr>
          <w:rFonts w:ascii="Times-Roman" w:hAnsi="Times-Roman"/>
          <w:b/>
          <w:color w:val="131413"/>
          <w:sz w:val="24"/>
          <w:szCs w:val="24"/>
          <w:lang w:val="en-US"/>
        </w:rPr>
        <w:t>Introduction: What Is Triad Forest Management?</w:t>
      </w:r>
    </w:p>
    <w:p w:rsidR="004C6DC3" w:rsidRPr="000A12EC" w:rsidRDefault="004C6DC3" w:rsidP="000A12EC">
      <w:pPr>
        <w:spacing w:after="0" w:line="360" w:lineRule="auto"/>
        <w:jc w:val="center"/>
        <w:rPr>
          <w:rFonts w:ascii="Times-Roman" w:hAnsi="Times-Roman"/>
          <w:b/>
          <w:color w:val="131413"/>
          <w:sz w:val="24"/>
          <w:szCs w:val="24"/>
          <w:lang w:val="en-US"/>
        </w:rPr>
      </w:pPr>
    </w:p>
    <w:p w:rsidR="00CB7343" w:rsidRDefault="004C6DC3" w:rsidP="004C6DC3">
      <w:pPr>
        <w:spacing w:after="0" w:line="360" w:lineRule="auto"/>
        <w:ind w:firstLine="567"/>
        <w:jc w:val="both"/>
        <w:rPr>
          <w:rFonts w:ascii="Times-Roman" w:hAnsi="Times-Roman"/>
          <w:color w:val="131413"/>
          <w:sz w:val="24"/>
          <w:szCs w:val="24"/>
          <w:lang w:val="en-US"/>
        </w:rPr>
      </w:pPr>
      <w:r w:rsidRPr="004C6DC3">
        <w:rPr>
          <w:rFonts w:ascii="Times-Roman" w:hAnsi="Times-Roman"/>
          <w:color w:val="131413"/>
          <w:sz w:val="24"/>
          <w:szCs w:val="24"/>
          <w:lang w:val="en-US"/>
        </w:rPr>
        <w:t xml:space="preserve">With the 1987 </w:t>
      </w:r>
      <w:proofErr w:type="spellStart"/>
      <w:r w:rsidRPr="004C6DC3">
        <w:rPr>
          <w:rFonts w:ascii="Times-Roman" w:hAnsi="Times-Roman"/>
          <w:color w:val="131413"/>
          <w:sz w:val="24"/>
          <w:szCs w:val="24"/>
          <w:lang w:val="en-US"/>
        </w:rPr>
        <w:t>Brundtland</w:t>
      </w:r>
      <w:proofErr w:type="spellEnd"/>
      <w:r w:rsidRPr="004C6DC3">
        <w:rPr>
          <w:rFonts w:ascii="Times-Roman" w:hAnsi="Times-Roman"/>
          <w:color w:val="131413"/>
          <w:sz w:val="24"/>
          <w:szCs w:val="24"/>
          <w:lang w:val="en-US"/>
        </w:rPr>
        <w:t xml:space="preserve"> Commission report (WCED 1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987) </w:t>
      </w:r>
      <w:proofErr w:type="gramStart"/>
      <w:r>
        <w:rPr>
          <w:rFonts w:ascii="Times-Roman" w:hAnsi="Times-Roman"/>
          <w:color w:val="131413"/>
          <w:sz w:val="24"/>
          <w:szCs w:val="24"/>
          <w:lang w:val="en-US"/>
        </w:rPr>
        <w:t>came</w:t>
      </w:r>
      <w:proofErr w:type="gram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the global acceptance </w:t>
      </w:r>
      <w:r w:rsidRPr="004C6DC3">
        <w:rPr>
          <w:rFonts w:ascii="Times-Roman" w:hAnsi="Times-Roman"/>
          <w:color w:val="131413"/>
          <w:sz w:val="24"/>
          <w:szCs w:val="24"/>
          <w:lang w:val="en-US"/>
        </w:rPr>
        <w:t>of the idea of sustainable development. Sustainable de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velopment involves planning for </w:t>
      </w:r>
      <w:r w:rsidRPr="004C6DC3">
        <w:rPr>
          <w:rFonts w:ascii="Times-Roman" w:hAnsi="Times-Roman"/>
          <w:color w:val="131413"/>
          <w:sz w:val="24"/>
          <w:szCs w:val="24"/>
          <w:lang w:val="en-US"/>
        </w:rPr>
        <w:t>the future and developing within certain limits such that futur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e generations will have the </w:t>
      </w:r>
      <w:r w:rsidRPr="004C6DC3">
        <w:rPr>
          <w:rFonts w:ascii="Times-Roman" w:hAnsi="Times-Roman"/>
          <w:color w:val="131413"/>
          <w:sz w:val="24"/>
          <w:szCs w:val="24"/>
          <w:lang w:val="en-US"/>
        </w:rPr>
        <w:t>same access to resources as we do today, be these resources economic, social, or ecological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4C6DC3">
        <w:rPr>
          <w:rFonts w:ascii="Times-Roman" w:hAnsi="Times-Roman"/>
          <w:color w:val="131413"/>
          <w:sz w:val="24"/>
          <w:szCs w:val="24"/>
          <w:lang w:val="en-US"/>
        </w:rPr>
        <w:t>(WCED 1987). Extending this concept to the forest, sustainable forest management has the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4C6DC3">
        <w:rPr>
          <w:rFonts w:ascii="Times-Roman" w:hAnsi="Times-Roman"/>
          <w:color w:val="131413"/>
          <w:sz w:val="24"/>
          <w:szCs w:val="24"/>
          <w:lang w:val="en-US"/>
        </w:rPr>
        <w:t>broad goals of managing the forest in a way that is socially, ecologically, and economically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4C6DC3">
        <w:rPr>
          <w:rFonts w:ascii="Times-Roman" w:hAnsi="Times-Roman"/>
          <w:color w:val="131413"/>
          <w:sz w:val="24"/>
          <w:szCs w:val="24"/>
          <w:lang w:val="en-US"/>
        </w:rPr>
        <w:t>sustainable, that is, that will allow future generations to benefit from the forest as a source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4C6DC3">
        <w:rPr>
          <w:rFonts w:ascii="Times-Roman" w:hAnsi="Times-Roman"/>
          <w:color w:val="131413"/>
          <w:sz w:val="24"/>
          <w:szCs w:val="24"/>
          <w:lang w:val="en-US"/>
        </w:rPr>
        <w:t>of social values, ecological resources, and revenue.</w:t>
      </w:r>
    </w:p>
    <w:p w:rsidR="004C6DC3" w:rsidRDefault="004C6DC3" w:rsidP="004C6DC3">
      <w:pPr>
        <w:spacing w:after="0" w:line="360" w:lineRule="auto"/>
        <w:ind w:firstLine="567"/>
        <w:jc w:val="both"/>
        <w:rPr>
          <w:rFonts w:ascii="Times-Roman" w:hAnsi="Times-Roman"/>
          <w:color w:val="131413"/>
          <w:sz w:val="24"/>
          <w:szCs w:val="24"/>
          <w:lang w:val="en-US"/>
        </w:rPr>
      </w:pPr>
      <w:r w:rsidRPr="004C6DC3">
        <w:rPr>
          <w:rFonts w:ascii="Times-Roman" w:hAnsi="Times-Roman"/>
          <w:color w:val="131413"/>
          <w:sz w:val="24"/>
          <w:szCs w:val="24"/>
          <w:lang w:val="en-US"/>
        </w:rPr>
        <w:t xml:space="preserve">One way to potentially meet the goals of sustainable forest 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management is through ecosystem </w:t>
      </w:r>
      <w:r w:rsidRPr="004C6DC3">
        <w:rPr>
          <w:rFonts w:ascii="Times-Roman" w:hAnsi="Times-Roman"/>
          <w:color w:val="131413"/>
          <w:sz w:val="24"/>
          <w:szCs w:val="24"/>
          <w:lang w:val="en-US"/>
        </w:rPr>
        <w:t>management. Ecosystem management involves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management of the forest as an </w:t>
      </w:r>
      <w:r w:rsidRPr="004C6DC3">
        <w:rPr>
          <w:rFonts w:ascii="Times-Roman" w:hAnsi="Times-Roman"/>
          <w:color w:val="131413"/>
          <w:sz w:val="24"/>
          <w:szCs w:val="24"/>
          <w:lang w:val="en-US"/>
        </w:rPr>
        <w:t>entire ecosystem rather than simply as a source of tree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s, recognizing the multitude of </w:t>
      </w:r>
      <w:r w:rsidRPr="004C6DC3">
        <w:rPr>
          <w:rFonts w:ascii="Times-Roman" w:hAnsi="Times-Roman"/>
          <w:color w:val="131413"/>
          <w:sz w:val="24"/>
          <w:szCs w:val="24"/>
          <w:lang w:val="en-US"/>
        </w:rPr>
        <w:t>interacting factors that make up a forest (</w:t>
      </w:r>
      <w:proofErr w:type="spellStart"/>
      <w:r w:rsidRPr="004C6DC3">
        <w:rPr>
          <w:rFonts w:ascii="Times-Roman" w:hAnsi="Times-Roman"/>
          <w:color w:val="131413"/>
          <w:sz w:val="24"/>
          <w:szCs w:val="24"/>
          <w:lang w:val="en-US"/>
        </w:rPr>
        <w:t>Szaro</w:t>
      </w:r>
      <w:proofErr w:type="spellEnd"/>
      <w:r w:rsidRPr="004C6DC3">
        <w:rPr>
          <w:rFonts w:ascii="Times-Roman" w:hAnsi="Times-Roman"/>
          <w:color w:val="131413"/>
          <w:sz w:val="24"/>
          <w:szCs w:val="24"/>
          <w:lang w:val="en-US"/>
        </w:rPr>
        <w:t xml:space="preserve"> et al. 1998). </w:t>
      </w:r>
      <w:proofErr w:type="spellStart"/>
      <w:r w:rsidRPr="004C6DC3">
        <w:rPr>
          <w:rFonts w:ascii="Times-Roman" w:hAnsi="Times-Roman"/>
          <w:color w:val="131413"/>
          <w:sz w:val="24"/>
          <w:szCs w:val="24"/>
          <w:lang w:val="en-US"/>
        </w:rPr>
        <w:t>Grumbine</w:t>
      </w:r>
      <w:proofErr w:type="spellEnd"/>
      <w:r w:rsidRPr="004C6DC3">
        <w:rPr>
          <w:rFonts w:ascii="Times-Roman" w:hAnsi="Times-Roman"/>
          <w:color w:val="131413"/>
          <w:sz w:val="24"/>
          <w:szCs w:val="24"/>
          <w:lang w:val="en-US"/>
        </w:rPr>
        <w:t xml:space="preserve"> (1994) defined the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4C6DC3">
        <w:rPr>
          <w:rFonts w:ascii="Times-Roman" w:hAnsi="Times-Roman"/>
          <w:color w:val="131413"/>
          <w:sz w:val="24"/>
          <w:szCs w:val="24"/>
          <w:lang w:val="en-US"/>
        </w:rPr>
        <w:t>goals of ecosystem management as largely ecological (maintaining native species and ecosystems,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4C6DC3">
        <w:rPr>
          <w:rFonts w:ascii="Times-Roman" w:hAnsi="Times-Roman"/>
          <w:color w:val="131413"/>
          <w:sz w:val="24"/>
          <w:szCs w:val="24"/>
          <w:lang w:val="en-US"/>
        </w:rPr>
        <w:t>as well as evolutionary and ecological processes)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, and also noted that ecosystem </w:t>
      </w:r>
      <w:r w:rsidRPr="004C6DC3">
        <w:rPr>
          <w:rFonts w:ascii="Times-Roman" w:hAnsi="Times-Roman"/>
          <w:color w:val="131413"/>
          <w:sz w:val="24"/>
          <w:szCs w:val="24"/>
          <w:lang w:val="en-US"/>
        </w:rPr>
        <w:t>management should accommodate human use, thus potentially touching on all three pillars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4C6DC3">
        <w:rPr>
          <w:rFonts w:ascii="Times-Roman" w:hAnsi="Times-Roman"/>
          <w:color w:val="131413"/>
          <w:sz w:val="24"/>
          <w:szCs w:val="24"/>
          <w:lang w:val="en-US"/>
        </w:rPr>
        <w:t>of sustainability (economic, social, and environmental).</w:t>
      </w:r>
    </w:p>
    <w:p w:rsidR="004C6DC3" w:rsidRDefault="004C6DC3" w:rsidP="004C6DC3">
      <w:pPr>
        <w:spacing w:after="0" w:line="360" w:lineRule="auto"/>
        <w:ind w:firstLine="567"/>
        <w:jc w:val="both"/>
        <w:rPr>
          <w:rFonts w:ascii="Times-Roman" w:hAnsi="Times-Roman"/>
          <w:color w:val="131413"/>
          <w:sz w:val="24"/>
          <w:szCs w:val="24"/>
          <w:lang w:val="en-US"/>
        </w:rPr>
      </w:pPr>
      <w:r w:rsidRPr="004C6DC3">
        <w:rPr>
          <w:rFonts w:ascii="Times-Roman" w:hAnsi="Times-Roman"/>
          <w:color w:val="131413"/>
          <w:sz w:val="24"/>
          <w:szCs w:val="24"/>
          <w:lang w:val="en-US"/>
        </w:rPr>
        <w:t>At a large spatial scale, there are two main ways in which t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he various goals of sustainable </w:t>
      </w:r>
      <w:r w:rsidRPr="004C6DC3">
        <w:rPr>
          <w:rFonts w:ascii="Times-Roman" w:hAnsi="Times-Roman"/>
          <w:color w:val="131413"/>
          <w:sz w:val="24"/>
          <w:szCs w:val="24"/>
          <w:lang w:val="en-US"/>
        </w:rPr>
        <w:t>forest management and ecosystem management can be met across the forest: (1) we</w:t>
      </w:r>
      <w:r w:rsidRPr="004C6DC3">
        <w:t xml:space="preserve"> </w:t>
      </w:r>
      <w:r w:rsidRPr="004C6DC3">
        <w:rPr>
          <w:rFonts w:ascii="Times-Roman" w:hAnsi="Times-Roman"/>
          <w:color w:val="131413"/>
          <w:sz w:val="24"/>
          <w:szCs w:val="24"/>
          <w:lang w:val="en-US"/>
        </w:rPr>
        <w:t>can seek to meet all goals on all land at the same time (la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nd sharing or integrated forest </w:t>
      </w:r>
      <w:r w:rsidRPr="004C6DC3">
        <w:rPr>
          <w:rFonts w:ascii="Times-Roman" w:hAnsi="Times-Roman"/>
          <w:color w:val="131413"/>
          <w:sz w:val="24"/>
          <w:szCs w:val="24"/>
          <w:lang w:val="en-US"/>
        </w:rPr>
        <w:t>management) or (2) we can divi</w:t>
      </w:r>
      <w:bookmarkStart w:id="0" w:name="_GoBack"/>
      <w:bookmarkEnd w:id="0"/>
      <w:r w:rsidRPr="004C6DC3">
        <w:rPr>
          <w:rFonts w:ascii="Times-Roman" w:hAnsi="Times-Roman"/>
          <w:color w:val="131413"/>
          <w:sz w:val="24"/>
          <w:szCs w:val="24"/>
          <w:lang w:val="en-US"/>
        </w:rPr>
        <w:t>de the forest up into zones, with different goals to be met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4C6DC3">
        <w:rPr>
          <w:rFonts w:ascii="Times-Roman" w:hAnsi="Times-Roman"/>
          <w:color w:val="131413"/>
          <w:sz w:val="24"/>
          <w:szCs w:val="24"/>
          <w:lang w:val="en-US"/>
        </w:rPr>
        <w:t>in each zone—called land sparing, functional zoning, or (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when there are three functional </w:t>
      </w:r>
      <w:r w:rsidRPr="004C6DC3">
        <w:rPr>
          <w:rFonts w:ascii="Times-Roman" w:hAnsi="Times-Roman"/>
          <w:color w:val="131413"/>
          <w:sz w:val="24"/>
          <w:szCs w:val="24"/>
          <w:lang w:val="en-US"/>
        </w:rPr>
        <w:t>zones) triad. Increasingly, functional zoning is emerging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as the most promising in terms </w:t>
      </w:r>
      <w:r w:rsidRPr="004C6DC3">
        <w:rPr>
          <w:rFonts w:ascii="Times-Roman" w:hAnsi="Times-Roman"/>
          <w:color w:val="131413"/>
          <w:sz w:val="24"/>
          <w:szCs w:val="24"/>
          <w:lang w:val="en-US"/>
        </w:rPr>
        <w:t>of balancing social, ecological, and environmental goals, as is also the case in agricultural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4C6DC3">
        <w:rPr>
          <w:rFonts w:ascii="Times-Roman" w:hAnsi="Times-Roman"/>
          <w:color w:val="131413"/>
          <w:sz w:val="24"/>
          <w:szCs w:val="24"/>
          <w:lang w:val="en-US"/>
        </w:rPr>
        <w:t xml:space="preserve">(e.g., </w:t>
      </w:r>
      <w:proofErr w:type="spellStart"/>
      <w:r w:rsidRPr="004C6DC3">
        <w:rPr>
          <w:rFonts w:ascii="Times-Roman" w:hAnsi="Times-Roman"/>
          <w:color w:val="131413"/>
          <w:sz w:val="24"/>
          <w:szCs w:val="24"/>
          <w:lang w:val="en-US"/>
        </w:rPr>
        <w:t>Phalan</w:t>
      </w:r>
      <w:proofErr w:type="spellEnd"/>
      <w:r w:rsidRPr="004C6DC3">
        <w:rPr>
          <w:rFonts w:ascii="Times-Roman" w:hAnsi="Times-Roman"/>
          <w:color w:val="131413"/>
          <w:sz w:val="24"/>
          <w:szCs w:val="24"/>
          <w:lang w:val="en-US"/>
        </w:rPr>
        <w:t xml:space="preserve"> et al. 2011) and urban settings (</w:t>
      </w:r>
      <w:proofErr w:type="spellStart"/>
      <w:r w:rsidRPr="004C6DC3">
        <w:rPr>
          <w:rFonts w:ascii="Times-Roman" w:hAnsi="Times-Roman"/>
          <w:color w:val="131413"/>
          <w:sz w:val="24"/>
          <w:szCs w:val="24"/>
          <w:lang w:val="en-US"/>
        </w:rPr>
        <w:t>Sushinsky</w:t>
      </w:r>
      <w:proofErr w:type="spellEnd"/>
      <w:r w:rsidRPr="004C6DC3">
        <w:rPr>
          <w:rFonts w:ascii="Times-Roman" w:hAnsi="Times-Roman"/>
          <w:color w:val="131413"/>
          <w:sz w:val="24"/>
          <w:szCs w:val="24"/>
          <w:lang w:val="en-US"/>
        </w:rPr>
        <w:t xml:space="preserve"> et al. 2013).</w:t>
      </w:r>
    </w:p>
    <w:sectPr w:rsidR="004C6D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859"/>
    <w:rsid w:val="00037067"/>
    <w:rsid w:val="000A12EC"/>
    <w:rsid w:val="000F3180"/>
    <w:rsid w:val="000F34A0"/>
    <w:rsid w:val="0010679A"/>
    <w:rsid w:val="002A7C23"/>
    <w:rsid w:val="003101CA"/>
    <w:rsid w:val="003A2186"/>
    <w:rsid w:val="003B25D1"/>
    <w:rsid w:val="00433295"/>
    <w:rsid w:val="004375FA"/>
    <w:rsid w:val="00460389"/>
    <w:rsid w:val="004C6DC3"/>
    <w:rsid w:val="004F62E1"/>
    <w:rsid w:val="0057015A"/>
    <w:rsid w:val="00597795"/>
    <w:rsid w:val="00630B05"/>
    <w:rsid w:val="0067617A"/>
    <w:rsid w:val="007043E7"/>
    <w:rsid w:val="00796EC7"/>
    <w:rsid w:val="007C3C85"/>
    <w:rsid w:val="007E3E54"/>
    <w:rsid w:val="00857EA9"/>
    <w:rsid w:val="008D303A"/>
    <w:rsid w:val="008E6FE7"/>
    <w:rsid w:val="00993378"/>
    <w:rsid w:val="009F3ED8"/>
    <w:rsid w:val="00A0657B"/>
    <w:rsid w:val="00A85859"/>
    <w:rsid w:val="00B84CC3"/>
    <w:rsid w:val="00C773A8"/>
    <w:rsid w:val="00CB7343"/>
    <w:rsid w:val="00D438B9"/>
    <w:rsid w:val="00DA0099"/>
    <w:rsid w:val="00DC1575"/>
    <w:rsid w:val="00E602DC"/>
    <w:rsid w:val="00E75017"/>
    <w:rsid w:val="00EA516B"/>
    <w:rsid w:val="00EA67DE"/>
    <w:rsid w:val="00F5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8F687-FBBB-497E-B420-9ACE2F806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uzay</dc:creator>
  <cp:lastModifiedBy>uzay</cp:lastModifiedBy>
  <cp:revision>6</cp:revision>
  <cp:lastPrinted>2016-04-22T06:19:00Z</cp:lastPrinted>
  <dcterms:created xsi:type="dcterms:W3CDTF">2016-04-22T06:09:00Z</dcterms:created>
  <dcterms:modified xsi:type="dcterms:W3CDTF">2016-04-22T06:20:00Z</dcterms:modified>
</cp:coreProperties>
</file>