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9A6" w:rsidRPr="008849A6" w:rsidRDefault="008849A6" w:rsidP="008849A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8849A6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Concept of Sustainability</w:t>
      </w:r>
    </w:p>
    <w:p w:rsidR="008849A6" w:rsidRPr="008849A6" w:rsidRDefault="008849A6" w:rsidP="008849A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The concept of sustainability came to wider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interest among decision-makers, 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researchers and the </w:t>
      </w:r>
      <w:proofErr w:type="gramStart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general public</w:t>
      </w:r>
      <w:proofErr w:type="gramEnd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in the 1980s,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when the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Brundtland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Commission 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defined sustainable development as “developm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ent that meets the needs of the 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present without compromising the ability of futur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 generations to meet their own 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needs” (United Nations General Assembly </w:t>
      </w:r>
      <w:r w:rsidRPr="008849A6">
        <w:rPr>
          <w:rFonts w:ascii="Times New Roman" w:hAnsi="Times New Roman" w:cs="Times New Roman"/>
          <w:color w:val="0000FF"/>
          <w:sz w:val="24"/>
          <w:szCs w:val="24"/>
          <w:lang w:val="en-US"/>
        </w:rPr>
        <w:t>1987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Adams </w:t>
      </w:r>
      <w:r w:rsidRPr="008849A6">
        <w:rPr>
          <w:rFonts w:ascii="Times New Roman" w:hAnsi="Times New Roman" w:cs="Times New Roman"/>
          <w:color w:val="0000FF"/>
          <w:sz w:val="24"/>
          <w:szCs w:val="24"/>
          <w:lang w:val="en-US"/>
        </w:rPr>
        <w:t>2006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). Later on, sustainability </w:t>
      </w:r>
      <w:proofErr w:type="gramStart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has been defined</w:t>
      </w:r>
      <w:proofErr w:type="gramEnd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to contain three pillars: economic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environmental and 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social (United Nations General Assembly </w:t>
      </w:r>
      <w:r w:rsidRPr="008849A6">
        <w:rPr>
          <w:rFonts w:ascii="Times New Roman" w:hAnsi="Times New Roman" w:cs="Times New Roman"/>
          <w:color w:val="0000FF"/>
          <w:sz w:val="24"/>
          <w:szCs w:val="24"/>
          <w:lang w:val="en-US"/>
        </w:rPr>
        <w:t>2005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Adams </w:t>
      </w:r>
      <w:r w:rsidRPr="008849A6">
        <w:rPr>
          <w:rFonts w:ascii="Times New Roman" w:hAnsi="Times New Roman" w:cs="Times New Roman"/>
          <w:color w:val="0000FF"/>
          <w:sz w:val="24"/>
          <w:szCs w:val="24"/>
          <w:lang w:val="en-US"/>
        </w:rPr>
        <w:t>2006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). These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can be 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presented</w:t>
      </w:r>
      <w:proofErr w:type="gramEnd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as a Venn diagram (Adams </w:t>
      </w:r>
      <w:r w:rsidRPr="008849A6">
        <w:rPr>
          <w:rFonts w:ascii="Times New Roman" w:hAnsi="Times New Roman" w:cs="Times New Roman"/>
          <w:color w:val="0000FF"/>
          <w:sz w:val="24"/>
          <w:szCs w:val="24"/>
          <w:lang w:val="en-US"/>
        </w:rPr>
        <w:t>2006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Fig. </w:t>
      </w:r>
      <w:r w:rsidRPr="008849A6">
        <w:rPr>
          <w:rFonts w:ascii="Times New Roman" w:hAnsi="Times New Roman" w:cs="Times New Roman"/>
          <w:color w:val="0000FF"/>
          <w:sz w:val="24"/>
          <w:szCs w:val="24"/>
          <w:lang w:val="en-US"/>
        </w:rPr>
        <w:t>2.1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). So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metimes cultural sustainability </w:t>
      </w:r>
      <w:proofErr w:type="gramStart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has been distinguished</w:t>
      </w:r>
      <w:proofErr w:type="gramEnd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as the fourth pil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lar but more common has been to 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consider it as part of social – or sociocultura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l – sustainability (see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Rantala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et al. </w:t>
      </w:r>
      <w:r w:rsidRPr="008849A6">
        <w:rPr>
          <w:rFonts w:ascii="Times New Roman" w:hAnsi="Times New Roman" w:cs="Times New Roman"/>
          <w:color w:val="0000FF"/>
          <w:sz w:val="24"/>
          <w:szCs w:val="24"/>
          <w:lang w:val="en-US"/>
        </w:rPr>
        <w:t xml:space="preserve">2012 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and </w:t>
      </w:r>
      <w:proofErr w:type="spellStart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Myllyviita</w:t>
      </w:r>
      <w:proofErr w:type="spellEnd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et al. </w:t>
      </w:r>
      <w:r w:rsidRPr="008849A6">
        <w:rPr>
          <w:rFonts w:ascii="Times New Roman" w:hAnsi="Times New Roman" w:cs="Times New Roman"/>
          <w:color w:val="0000FF"/>
          <w:sz w:val="24"/>
          <w:szCs w:val="24"/>
          <w:lang w:val="en-US"/>
        </w:rPr>
        <w:t>2014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).</w:t>
      </w:r>
    </w:p>
    <w:p w:rsidR="008849A6" w:rsidRPr="008849A6" w:rsidRDefault="008849A6" w:rsidP="008849A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In forest management, the principles of sustaina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bility stem from a much earlier 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era. </w:t>
      </w:r>
      <w:proofErr w:type="gramStart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Already in 1713, Hans Carl von </w:t>
      </w:r>
      <w:proofErr w:type="spellStart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Carlowitz</w:t>
      </w:r>
      <w:proofErr w:type="spellEnd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presented the su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stainability principles 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in his book </w:t>
      </w:r>
      <w:proofErr w:type="spellStart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Sylvicultura</w:t>
      </w:r>
      <w:proofErr w:type="spellEnd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Oeconomica</w:t>
      </w:r>
      <w:proofErr w:type="spellEnd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: “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Therefore it is highly 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essential to combine research, hard work and planni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ng, that aims at protection and 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planting of forests in our country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,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that makes a continuous, and sustainable use of ou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r forests possible; all this is 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necessary to ensure the future of our country”) (von </w:t>
      </w:r>
      <w:proofErr w:type="spellStart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Carlowitz</w:t>
      </w:r>
      <w:proofErr w:type="spellEnd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849A6">
        <w:rPr>
          <w:rFonts w:ascii="Times New Roman" w:hAnsi="Times New Roman" w:cs="Times New Roman"/>
          <w:color w:val="0000FF"/>
          <w:sz w:val="24"/>
          <w:szCs w:val="24"/>
          <w:lang w:val="en-US"/>
        </w:rPr>
        <w:t xml:space="preserve">1713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p. 105–106, </w:t>
      </w:r>
      <w:proofErr w:type="spellStart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Hamberger</w:t>
      </w:r>
      <w:proofErr w:type="spellEnd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849A6">
        <w:rPr>
          <w:rFonts w:ascii="Times New Roman" w:hAnsi="Times New Roman" w:cs="Times New Roman"/>
          <w:color w:val="0000FF"/>
          <w:sz w:val="24"/>
          <w:szCs w:val="24"/>
          <w:lang w:val="en-US"/>
        </w:rPr>
        <w:t xml:space="preserve">2013 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p. 216).</w:t>
      </w:r>
      <w:proofErr w:type="gramEnd"/>
    </w:p>
    <w:p w:rsidR="00C8578B" w:rsidRPr="008849A6" w:rsidRDefault="008849A6" w:rsidP="008849A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In the beginning, sustainability </w:t>
      </w:r>
      <w:proofErr w:type="gramStart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was defined</w:t>
      </w:r>
      <w:proofErr w:type="gramEnd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main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ly from timber production point 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of view. Yet, even in those days, sustainability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had many competing definitions 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proofErr w:type="spellStart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Lihtonen</w:t>
      </w:r>
      <w:proofErr w:type="spellEnd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849A6">
        <w:rPr>
          <w:rFonts w:ascii="Times New Roman" w:hAnsi="Times New Roman" w:cs="Times New Roman"/>
          <w:color w:val="0000FF"/>
          <w:sz w:val="24"/>
          <w:szCs w:val="24"/>
          <w:lang w:val="en-US"/>
        </w:rPr>
        <w:t>1959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). It </w:t>
      </w:r>
      <w:proofErr w:type="gramStart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could be considered</w:t>
      </w:r>
      <w:proofErr w:type="gramEnd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from static (sus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tainability of forest state) or 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dynamic (sustainability of forest growth and harveste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 yield) point of view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Speidel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849A6">
        <w:rPr>
          <w:rFonts w:ascii="Times New Roman" w:hAnsi="Times New Roman" w:cs="Times New Roman"/>
          <w:color w:val="0000FF"/>
          <w:sz w:val="24"/>
          <w:szCs w:val="24"/>
          <w:lang w:val="en-US"/>
        </w:rPr>
        <w:t>1972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). Forestry could be defined as sustainable if the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forest land was kept in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timber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production</w:t>
      </w:r>
      <w:proofErr w:type="spellEnd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Heyer</w:t>
      </w:r>
      <w:proofErr w:type="spellEnd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849A6">
        <w:rPr>
          <w:rFonts w:ascii="Times New Roman" w:hAnsi="Times New Roman" w:cs="Times New Roman"/>
          <w:color w:val="0000FF"/>
          <w:sz w:val="24"/>
          <w:szCs w:val="24"/>
          <w:lang w:val="en-US"/>
        </w:rPr>
        <w:t>1841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) or if the periodic harvest lev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els were kept at the same level 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proofErr w:type="spellStart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Hartig</w:t>
      </w:r>
      <w:proofErr w:type="spellEnd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849A6">
        <w:rPr>
          <w:rFonts w:ascii="Times New Roman" w:hAnsi="Times New Roman" w:cs="Times New Roman"/>
          <w:color w:val="0000FF"/>
          <w:sz w:val="24"/>
          <w:szCs w:val="24"/>
          <w:lang w:val="en-US"/>
        </w:rPr>
        <w:t>1795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) or if the periodic incomes from the fore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sts were kept at the same level </w:t>
      </w:r>
      <w:bookmarkStart w:id="0" w:name="_GoBack"/>
      <w:bookmarkEnd w:id="0"/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(Ostwald </w:t>
      </w:r>
      <w:r w:rsidRPr="008849A6">
        <w:rPr>
          <w:rFonts w:ascii="Times New Roman" w:hAnsi="Times New Roman" w:cs="Times New Roman"/>
          <w:color w:val="0000FF"/>
          <w:sz w:val="24"/>
          <w:szCs w:val="24"/>
          <w:lang w:val="en-US"/>
        </w:rPr>
        <w:t>1931</w:t>
      </w:r>
      <w:r w:rsidRPr="008849A6">
        <w:rPr>
          <w:rFonts w:ascii="Times New Roman" w:hAnsi="Times New Roman" w:cs="Times New Roman"/>
          <w:color w:val="000000"/>
          <w:sz w:val="24"/>
          <w:szCs w:val="24"/>
          <w:lang w:val="en-US"/>
        </w:rPr>
        <w:t>), to name but a few.</w:t>
      </w:r>
    </w:p>
    <w:sectPr w:rsidR="00C8578B" w:rsidRPr="008849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9CD"/>
    <w:rsid w:val="001469CD"/>
    <w:rsid w:val="00217030"/>
    <w:rsid w:val="008849A6"/>
    <w:rsid w:val="009C6F71"/>
    <w:rsid w:val="00C8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8E394"/>
  <w15:chartTrackingRefBased/>
  <w15:docId w15:val="{EFE206DA-EE47-42DA-ADF1-EC7B54F2A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uzay</dc:creator>
  <cp:keywords/>
  <dc:description/>
  <cp:lastModifiedBy>uzay</cp:lastModifiedBy>
  <cp:revision>2</cp:revision>
  <dcterms:created xsi:type="dcterms:W3CDTF">2017-12-11T12:06:00Z</dcterms:created>
  <dcterms:modified xsi:type="dcterms:W3CDTF">2017-12-11T12:08:00Z</dcterms:modified>
</cp:coreProperties>
</file>