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00C0" w14:textId="77777777" w:rsidR="0088223F" w:rsidRPr="003D475F" w:rsidRDefault="0088223F" w:rsidP="0062319C">
      <w:pPr>
        <w:spacing w:before="0" w:after="0"/>
        <w:jc w:val="center"/>
        <w:rPr>
          <w:b/>
          <w:bCs/>
          <w:color w:val="000000" w:themeColor="text1"/>
        </w:rPr>
      </w:pPr>
      <w:r w:rsidRPr="003D475F">
        <w:rPr>
          <w:b/>
          <w:bCs/>
          <w:color w:val="000000" w:themeColor="text1"/>
        </w:rPr>
        <w:t>KARADENİZ TEKNİK ÜNİVERSİTESİ</w:t>
      </w:r>
    </w:p>
    <w:p w14:paraId="3F81ADD3" w14:textId="77777777" w:rsidR="0088223F" w:rsidRPr="003D475F" w:rsidRDefault="0088223F" w:rsidP="0062319C">
      <w:pPr>
        <w:spacing w:before="0" w:after="0"/>
        <w:jc w:val="center"/>
        <w:rPr>
          <w:b/>
          <w:bCs/>
          <w:color w:val="000000" w:themeColor="text1"/>
        </w:rPr>
      </w:pPr>
      <w:r w:rsidRPr="003D475F">
        <w:rPr>
          <w:b/>
          <w:bCs/>
          <w:color w:val="000000" w:themeColor="text1"/>
        </w:rPr>
        <w:t>İKTİSADİ VE İDARİ BİLİMLER FAKÜLTESİ</w:t>
      </w:r>
    </w:p>
    <w:p w14:paraId="6CF65CF4" w14:textId="77777777" w:rsidR="0062319C" w:rsidRPr="003D475F" w:rsidRDefault="0088223F" w:rsidP="0062319C">
      <w:pPr>
        <w:spacing w:before="0" w:after="0"/>
        <w:jc w:val="center"/>
        <w:rPr>
          <w:b/>
          <w:bCs/>
          <w:color w:val="000000" w:themeColor="text1"/>
        </w:rPr>
      </w:pPr>
      <w:r w:rsidRPr="003D475F">
        <w:rPr>
          <w:b/>
          <w:bCs/>
          <w:color w:val="000000" w:themeColor="text1"/>
        </w:rPr>
        <w:t>ÇALIŞMA EKONOMİSİ VE ENDÜSTRİ İLİŞKİLERİ BÖLÜMÜ</w:t>
      </w:r>
    </w:p>
    <w:p w14:paraId="4258ECA9" w14:textId="77777777" w:rsidR="0088223F" w:rsidRPr="003D475F" w:rsidRDefault="0088223F" w:rsidP="0062319C">
      <w:pPr>
        <w:spacing w:before="0" w:after="0"/>
        <w:jc w:val="center"/>
        <w:rPr>
          <w:b/>
          <w:bCs/>
          <w:color w:val="000000" w:themeColor="text1"/>
        </w:rPr>
      </w:pPr>
      <w:r w:rsidRPr="003D475F">
        <w:rPr>
          <w:b/>
          <w:bCs/>
          <w:color w:val="000000" w:themeColor="text1"/>
        </w:rPr>
        <w:t>VERİ TOPLAMA VE DEĞERLENDİRME KOMİSYONU</w:t>
      </w:r>
    </w:p>
    <w:p w14:paraId="687BD826" w14:textId="77777777" w:rsidR="0088223F" w:rsidRPr="003D475F" w:rsidRDefault="0088223F" w:rsidP="0062319C">
      <w:pPr>
        <w:jc w:val="center"/>
        <w:rPr>
          <w:color w:val="000000" w:themeColor="text1"/>
        </w:rPr>
      </w:pPr>
    </w:p>
    <w:p w14:paraId="722011F4" w14:textId="77777777" w:rsidR="0088223F" w:rsidRPr="003D475F" w:rsidRDefault="0088223F" w:rsidP="0088223F">
      <w:pPr>
        <w:rPr>
          <w:color w:val="000000" w:themeColor="text1"/>
        </w:rPr>
      </w:pPr>
    </w:p>
    <w:p w14:paraId="3C12E064" w14:textId="77777777" w:rsidR="005758B1" w:rsidRPr="003D475F" w:rsidRDefault="005758B1" w:rsidP="0088223F">
      <w:pPr>
        <w:rPr>
          <w:color w:val="000000" w:themeColor="text1"/>
        </w:rPr>
      </w:pPr>
    </w:p>
    <w:p w14:paraId="02B881D1" w14:textId="77777777" w:rsidR="001D03C6" w:rsidRDefault="001D03C6" w:rsidP="001D03C6">
      <w:pPr>
        <w:ind w:firstLine="0"/>
        <w:rPr>
          <w:b/>
          <w:bCs/>
          <w:color w:val="000000" w:themeColor="text1"/>
        </w:rPr>
      </w:pPr>
    </w:p>
    <w:p w14:paraId="1B992D93" w14:textId="77777777" w:rsidR="001D03C6" w:rsidRDefault="001D03C6" w:rsidP="0088223F">
      <w:pPr>
        <w:jc w:val="center"/>
        <w:rPr>
          <w:b/>
          <w:bCs/>
          <w:color w:val="000000" w:themeColor="text1"/>
        </w:rPr>
      </w:pPr>
    </w:p>
    <w:p w14:paraId="73F0C461" w14:textId="77777777" w:rsidR="001D03C6" w:rsidRPr="003D475F" w:rsidRDefault="001D03C6" w:rsidP="0088223F">
      <w:pPr>
        <w:jc w:val="center"/>
        <w:rPr>
          <w:b/>
          <w:bCs/>
          <w:color w:val="000000" w:themeColor="text1"/>
        </w:rPr>
      </w:pPr>
    </w:p>
    <w:p w14:paraId="4B4C3B9E" w14:textId="77777777" w:rsidR="0088223F" w:rsidRPr="003D475F" w:rsidRDefault="0088223F" w:rsidP="0088223F">
      <w:pPr>
        <w:jc w:val="center"/>
        <w:rPr>
          <w:b/>
          <w:bCs/>
          <w:color w:val="000000" w:themeColor="text1"/>
        </w:rPr>
      </w:pPr>
    </w:p>
    <w:p w14:paraId="4697EC6C" w14:textId="6160934F" w:rsidR="0088223F" w:rsidRPr="003D475F" w:rsidRDefault="0088223F" w:rsidP="0062319C">
      <w:pPr>
        <w:jc w:val="center"/>
        <w:rPr>
          <w:b/>
          <w:bCs/>
          <w:color w:val="000000" w:themeColor="text1"/>
        </w:rPr>
      </w:pPr>
      <w:r w:rsidRPr="003D475F">
        <w:rPr>
          <w:b/>
          <w:bCs/>
          <w:color w:val="000000" w:themeColor="text1"/>
        </w:rPr>
        <w:t>202</w:t>
      </w:r>
      <w:r w:rsidR="00E8377F" w:rsidRPr="003D475F">
        <w:rPr>
          <w:b/>
          <w:bCs/>
          <w:color w:val="000000" w:themeColor="text1"/>
        </w:rPr>
        <w:t>0</w:t>
      </w:r>
      <w:r w:rsidRPr="003D475F">
        <w:rPr>
          <w:b/>
          <w:bCs/>
          <w:color w:val="000000" w:themeColor="text1"/>
        </w:rPr>
        <w:t xml:space="preserve">-2024 </w:t>
      </w:r>
      <w:r w:rsidR="00BF7857" w:rsidRPr="003D475F">
        <w:rPr>
          <w:b/>
          <w:bCs/>
          <w:color w:val="000000" w:themeColor="text1"/>
        </w:rPr>
        <w:t>YIL</w:t>
      </w:r>
      <w:r w:rsidR="00E8377F" w:rsidRPr="003D475F">
        <w:rPr>
          <w:b/>
          <w:bCs/>
          <w:color w:val="000000" w:themeColor="text1"/>
        </w:rPr>
        <w:t>LARI ARASI</w:t>
      </w:r>
      <w:r w:rsidR="00BF7857" w:rsidRPr="003D475F">
        <w:rPr>
          <w:b/>
          <w:bCs/>
          <w:color w:val="000000" w:themeColor="text1"/>
        </w:rPr>
        <w:t xml:space="preserve"> MEZUN </w:t>
      </w:r>
      <w:r w:rsidR="00E8377F" w:rsidRPr="003D475F">
        <w:rPr>
          <w:b/>
          <w:bCs/>
          <w:color w:val="000000" w:themeColor="text1"/>
        </w:rPr>
        <w:t xml:space="preserve">ÖĞRENCİ </w:t>
      </w:r>
      <w:r w:rsidR="00BF7857" w:rsidRPr="003D475F">
        <w:rPr>
          <w:b/>
          <w:bCs/>
          <w:color w:val="000000" w:themeColor="text1"/>
        </w:rPr>
        <w:t>ANKETİ</w:t>
      </w:r>
      <w:r w:rsidR="00BF7857" w:rsidRPr="003D475F">
        <w:rPr>
          <w:b/>
          <w:bCs/>
          <w:color w:val="000000" w:themeColor="text1"/>
        </w:rPr>
        <w:br/>
        <w:t xml:space="preserve"> DEĞERLENDİRME RAPORU</w:t>
      </w:r>
    </w:p>
    <w:p w14:paraId="4D55C4C6" w14:textId="77777777" w:rsidR="0088223F" w:rsidRPr="003D475F" w:rsidRDefault="0088223F" w:rsidP="0062319C">
      <w:pPr>
        <w:jc w:val="center"/>
        <w:rPr>
          <w:b/>
          <w:bCs/>
          <w:color w:val="000000" w:themeColor="text1"/>
        </w:rPr>
      </w:pPr>
    </w:p>
    <w:p w14:paraId="6E6ABC17" w14:textId="77777777" w:rsidR="0088223F" w:rsidRDefault="0088223F" w:rsidP="0088223F">
      <w:pPr>
        <w:jc w:val="center"/>
        <w:rPr>
          <w:b/>
          <w:bCs/>
          <w:color w:val="000000" w:themeColor="text1"/>
        </w:rPr>
      </w:pPr>
    </w:p>
    <w:p w14:paraId="1E02C6C3" w14:textId="77777777" w:rsidR="001D03C6" w:rsidRDefault="001D03C6" w:rsidP="0088223F">
      <w:pPr>
        <w:jc w:val="center"/>
        <w:rPr>
          <w:b/>
          <w:bCs/>
          <w:color w:val="000000" w:themeColor="text1"/>
        </w:rPr>
      </w:pPr>
    </w:p>
    <w:p w14:paraId="0AD94E87" w14:textId="77777777" w:rsidR="001D03C6" w:rsidRDefault="001D03C6" w:rsidP="0088223F">
      <w:pPr>
        <w:jc w:val="center"/>
        <w:rPr>
          <w:b/>
          <w:bCs/>
          <w:color w:val="000000" w:themeColor="text1"/>
        </w:rPr>
      </w:pPr>
    </w:p>
    <w:p w14:paraId="01F24DB6" w14:textId="77777777" w:rsidR="001D03C6" w:rsidRPr="003D475F" w:rsidRDefault="001D03C6" w:rsidP="0088223F">
      <w:pPr>
        <w:jc w:val="center"/>
        <w:rPr>
          <w:b/>
          <w:bCs/>
          <w:color w:val="000000" w:themeColor="text1"/>
        </w:rPr>
      </w:pPr>
    </w:p>
    <w:p w14:paraId="0FBEA83C" w14:textId="77777777" w:rsidR="0088223F" w:rsidRPr="003D475F" w:rsidRDefault="0088223F" w:rsidP="0088223F">
      <w:pPr>
        <w:jc w:val="center"/>
        <w:rPr>
          <w:b/>
          <w:bCs/>
          <w:color w:val="000000" w:themeColor="text1"/>
        </w:rPr>
      </w:pPr>
    </w:p>
    <w:p w14:paraId="072B06B1" w14:textId="3F5910F1" w:rsidR="0088223F" w:rsidRPr="003D475F" w:rsidRDefault="001D03C6" w:rsidP="0088223F">
      <w:pPr>
        <w:jc w:val="center"/>
        <w:rPr>
          <w:b/>
          <w:bCs/>
          <w:color w:val="000000" w:themeColor="text1"/>
        </w:rPr>
      </w:pPr>
      <w:r>
        <w:rPr>
          <w:b/>
          <w:bCs/>
          <w:color w:val="000000" w:themeColor="text1"/>
        </w:rPr>
        <w:t>H</w:t>
      </w:r>
      <w:r w:rsidR="0062319C" w:rsidRPr="003D475F">
        <w:rPr>
          <w:b/>
          <w:bCs/>
          <w:color w:val="000000" w:themeColor="text1"/>
        </w:rPr>
        <w:t xml:space="preserve">azırlayanlar </w:t>
      </w:r>
    </w:p>
    <w:p w14:paraId="18AC58A5" w14:textId="77777777" w:rsidR="0088223F" w:rsidRPr="003D475F" w:rsidRDefault="0088223F" w:rsidP="0088223F">
      <w:pPr>
        <w:jc w:val="center"/>
        <w:rPr>
          <w:b/>
          <w:bCs/>
          <w:color w:val="000000" w:themeColor="text1"/>
        </w:rPr>
      </w:pPr>
      <w:r w:rsidRPr="003D475F">
        <w:rPr>
          <w:b/>
          <w:bCs/>
          <w:color w:val="000000" w:themeColor="text1"/>
        </w:rPr>
        <w:t>Dr. Öğr. Üyesi Yusuf Erdem TUNÇ</w:t>
      </w:r>
    </w:p>
    <w:p w14:paraId="76206A0E" w14:textId="7EEB6B45" w:rsidR="001D03C6" w:rsidRDefault="0088223F" w:rsidP="0088223F">
      <w:pPr>
        <w:jc w:val="center"/>
        <w:rPr>
          <w:b/>
          <w:bCs/>
          <w:color w:val="000000" w:themeColor="text1"/>
        </w:rPr>
      </w:pPr>
      <w:r w:rsidRPr="003D475F">
        <w:rPr>
          <w:b/>
          <w:bCs/>
          <w:color w:val="000000" w:themeColor="text1"/>
        </w:rPr>
        <w:t>Arş. Gör. Ayşıl KABAKÇI</w:t>
      </w:r>
      <w:r w:rsidR="005758B1" w:rsidRPr="003D475F">
        <w:rPr>
          <w:b/>
          <w:bCs/>
          <w:color w:val="000000" w:themeColor="text1"/>
        </w:rPr>
        <w:br/>
      </w:r>
      <w:r w:rsidR="005758B1" w:rsidRPr="003D475F">
        <w:rPr>
          <w:b/>
          <w:bCs/>
          <w:color w:val="000000" w:themeColor="text1"/>
        </w:rPr>
        <w:br/>
      </w:r>
    </w:p>
    <w:p w14:paraId="3F5E054B" w14:textId="77777777" w:rsidR="001D03C6" w:rsidRDefault="001D03C6" w:rsidP="0088223F">
      <w:pPr>
        <w:jc w:val="center"/>
        <w:rPr>
          <w:b/>
          <w:bCs/>
          <w:color w:val="000000" w:themeColor="text1"/>
        </w:rPr>
      </w:pPr>
    </w:p>
    <w:p w14:paraId="45D03638" w14:textId="77777777" w:rsidR="001D03C6" w:rsidRDefault="001D03C6" w:rsidP="0088223F">
      <w:pPr>
        <w:jc w:val="center"/>
        <w:rPr>
          <w:b/>
          <w:bCs/>
          <w:color w:val="000000" w:themeColor="text1"/>
        </w:rPr>
      </w:pPr>
    </w:p>
    <w:p w14:paraId="6BB0E4BC" w14:textId="77777777" w:rsidR="001D03C6" w:rsidRDefault="001D03C6" w:rsidP="0088223F">
      <w:pPr>
        <w:jc w:val="center"/>
        <w:rPr>
          <w:b/>
          <w:bCs/>
          <w:color w:val="000000" w:themeColor="text1"/>
        </w:rPr>
      </w:pPr>
    </w:p>
    <w:p w14:paraId="6CC5D9C3" w14:textId="77777777" w:rsidR="001D03C6" w:rsidRPr="003D475F" w:rsidRDefault="001D03C6" w:rsidP="0088223F">
      <w:pPr>
        <w:jc w:val="center"/>
        <w:rPr>
          <w:b/>
          <w:bCs/>
          <w:color w:val="000000" w:themeColor="text1"/>
        </w:rPr>
      </w:pPr>
    </w:p>
    <w:p w14:paraId="26D16917" w14:textId="2EBFDBC8" w:rsidR="0088223F" w:rsidRPr="003D475F" w:rsidRDefault="005758B1" w:rsidP="0088223F">
      <w:pPr>
        <w:jc w:val="center"/>
        <w:rPr>
          <w:b/>
          <w:bCs/>
          <w:color w:val="000000" w:themeColor="text1"/>
        </w:rPr>
      </w:pPr>
      <w:r w:rsidRPr="003D475F">
        <w:rPr>
          <w:b/>
          <w:bCs/>
          <w:color w:val="000000" w:themeColor="text1"/>
        </w:rPr>
        <w:t xml:space="preserve">Trabzon, </w:t>
      </w:r>
      <w:r w:rsidR="00E8377F" w:rsidRPr="003D475F">
        <w:rPr>
          <w:b/>
          <w:bCs/>
          <w:color w:val="000000" w:themeColor="text1"/>
        </w:rPr>
        <w:t>Mayıs</w:t>
      </w:r>
      <w:r w:rsidRPr="003D475F">
        <w:rPr>
          <w:b/>
          <w:bCs/>
          <w:color w:val="000000" w:themeColor="text1"/>
        </w:rPr>
        <w:t xml:space="preserve"> 202</w:t>
      </w:r>
      <w:r w:rsidR="00E8377F" w:rsidRPr="003D475F">
        <w:rPr>
          <w:b/>
          <w:bCs/>
          <w:color w:val="000000" w:themeColor="text1"/>
        </w:rPr>
        <w:t>6</w:t>
      </w:r>
    </w:p>
    <w:p w14:paraId="456C7187" w14:textId="77777777" w:rsidR="0088223F" w:rsidRPr="003D475F" w:rsidRDefault="0088223F" w:rsidP="00E8377F">
      <w:pPr>
        <w:pStyle w:val="Balk1"/>
        <w:numPr>
          <w:ilvl w:val="0"/>
          <w:numId w:val="0"/>
        </w:numPr>
        <w:ind w:left="1571"/>
        <w:rPr>
          <w:rFonts w:eastAsia="Calibri"/>
        </w:rPr>
      </w:pPr>
    </w:p>
    <w:p w14:paraId="08C09AFD" w14:textId="77777777" w:rsidR="004522F3" w:rsidRPr="003D475F" w:rsidRDefault="004522F3" w:rsidP="00E8377F">
      <w:pPr>
        <w:pStyle w:val="Balk1"/>
        <w:numPr>
          <w:ilvl w:val="0"/>
          <w:numId w:val="7"/>
        </w:numPr>
        <w:sectPr w:rsidR="004522F3" w:rsidRPr="003D475F" w:rsidSect="003178E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pgNumType w:start="1"/>
          <w:cols w:space="708"/>
          <w:titlePg/>
          <w:docGrid w:linePitch="360"/>
        </w:sectPr>
      </w:pPr>
      <w:bookmarkStart w:id="0" w:name="_Toc169044615"/>
    </w:p>
    <w:p w14:paraId="40BF6122" w14:textId="77777777" w:rsidR="0088223F" w:rsidRPr="003D475F" w:rsidRDefault="00860175" w:rsidP="00E8377F">
      <w:pPr>
        <w:pStyle w:val="Balk1"/>
        <w:numPr>
          <w:ilvl w:val="0"/>
          <w:numId w:val="7"/>
        </w:numPr>
      </w:pPr>
      <w:r w:rsidRPr="003D475F">
        <w:lastRenderedPageBreak/>
        <w:t>Giriş</w:t>
      </w:r>
      <w:bookmarkEnd w:id="0"/>
    </w:p>
    <w:p w14:paraId="15383F95" w14:textId="1FD80001" w:rsidR="003D475F" w:rsidRPr="003D475F" w:rsidRDefault="003D475F" w:rsidP="00E8377F">
      <w:pPr>
        <w:rPr>
          <w:color w:val="000000" w:themeColor="text1"/>
        </w:rPr>
      </w:pPr>
      <w:bookmarkStart w:id="1" w:name="OLE_LINK1"/>
      <w:r w:rsidRPr="003D475F">
        <w:rPr>
          <w:color w:val="000000" w:themeColor="text1"/>
        </w:rPr>
        <w:t>Mezun izleme çalışmaları, yükseköğretim programlarının kalite güvencesi sürecinin yapısal bir bileşeni olup programların istihdam etkinliğini değerlendirmek ve eğitim-öğretim pratiklerini kanıta dayalı biçimde geliştirmek bakımından kritik bir işlev üstlenmektedir. Bu bağlamda hazırlanan rapor Karadeniz Teknik Üniversitesi İktisadi ve İdari Bilimler Fakültesi Çalışma Ekonomisi ve Endüstri İlişkileri Bölümü'nden 2020-2024 yılları arasında mezun olan bireylerin demografik özelliklerini, istihdam örüntülerini, çalışılan sektör ve pozisyonları, coğrafi dağılımlarını ile bölüm ve eğitime ilişkin değerlendirmelerini bütüncül bir perspektiften ele almaktadır. Mezun İzleme Anketi kapalı uçlu (çoklu seçim ve tek seçim) ile açık uçlu sorulardan oluşan yapılandırılmış bir form aracılığıyla uygulanmış; nicel veriler istatistiksel yöntemlerle çözümlenirken açık uçlu yanıtlar nitel analiz çerçevesinde değerlendirilmiştir. Bu noktada rapor elde edilen bulguların bütünleşik bir biçimde ortaya konmasını, bölümün güçlü yönleri ile iyileştirmeye açık alanlarının saptanmasını ve bu saptamalar ışığında geleceğe yönelik stratejik öneriler geliştirilmesini hedeflemektedir.</w:t>
      </w:r>
    </w:p>
    <w:p w14:paraId="6648D0CF" w14:textId="77777777" w:rsidR="0088223F" w:rsidRPr="003D475F" w:rsidRDefault="00860175" w:rsidP="00E8377F">
      <w:pPr>
        <w:pStyle w:val="Balk1"/>
        <w:numPr>
          <w:ilvl w:val="0"/>
          <w:numId w:val="7"/>
        </w:numPr>
      </w:pPr>
      <w:bookmarkStart w:id="2" w:name="_Toc169044616"/>
      <w:bookmarkEnd w:id="1"/>
      <w:r w:rsidRPr="003D475F">
        <w:t>Yöntem</w:t>
      </w:r>
      <w:bookmarkEnd w:id="2"/>
    </w:p>
    <w:p w14:paraId="7EDFA63F" w14:textId="57B7F0BD" w:rsidR="00E8377F" w:rsidRPr="003D475F" w:rsidRDefault="00E8377F" w:rsidP="005758B1">
      <w:pPr>
        <w:rPr>
          <w:color w:val="000000" w:themeColor="text1"/>
        </w:rPr>
      </w:pPr>
      <w:r w:rsidRPr="003D475F">
        <w:rPr>
          <w:color w:val="000000" w:themeColor="text1"/>
        </w:rPr>
        <w:t>Mezun İzleme Anketi; kapalı uçlu (çoklu seçim, tek seçim) ve açık uçlu sorulardan oluşan yapılandırılmış bir form aracılığıyla uygulanmıştır. Anket; katılımcı demografisi, eğitim durumu, istihdam bilgileri ve genel görüş/öneriler olmak üzere dört ana bölümden meydana gelmektedir.</w:t>
      </w:r>
    </w:p>
    <w:p w14:paraId="5091B3AC" w14:textId="42131940" w:rsidR="00E8377F" w:rsidRPr="003D475F" w:rsidRDefault="00E8377F" w:rsidP="005758B1">
      <w:pPr>
        <w:rPr>
          <w:color w:val="000000" w:themeColor="text1"/>
        </w:rPr>
      </w:pPr>
      <w:r w:rsidRPr="003D475F">
        <w:rPr>
          <w:color w:val="000000" w:themeColor="text1"/>
        </w:rPr>
        <w:t xml:space="preserve">Çalışmanın evrenini </w:t>
      </w:r>
      <w:r w:rsidR="003D475F" w:rsidRPr="003D475F">
        <w:rPr>
          <w:color w:val="000000" w:themeColor="text1"/>
        </w:rPr>
        <w:t>Karadeniz Teknik Üniversitesi İktisadi ve İdari Bilimler Fakültesi</w:t>
      </w:r>
      <w:r w:rsidRPr="003D475F">
        <w:rPr>
          <w:color w:val="000000" w:themeColor="text1"/>
        </w:rPr>
        <w:t xml:space="preserve"> Çalışma Ekonomisi ve Endüstri İlişkileri Bölümü'nden 2020-2024 yılları arasında mezun olan bireyler oluşturmaktadır. Anket, 2025-2026 akademik yılında Bölüm mezun iletişim kanalları aracılığıyla dağıtılmış; gönüllülük esasına dayalı olarak 34 mezun ankete yanıt vermiştir.</w:t>
      </w:r>
    </w:p>
    <w:p w14:paraId="6A2B3EE7" w14:textId="4513F61B" w:rsidR="00E8377F" w:rsidRPr="003D475F" w:rsidRDefault="00E8377F" w:rsidP="005758B1">
      <w:pPr>
        <w:rPr>
          <w:color w:val="000000" w:themeColor="text1"/>
        </w:rPr>
      </w:pPr>
      <w:r w:rsidRPr="003D475F">
        <w:rPr>
          <w:color w:val="000000" w:themeColor="text1"/>
        </w:rPr>
        <w:t>Kapalı uçlu sorulardan elde edilen veriler betimsel istatistikler (frekans ve yüzde dağılımları) ile özetlenmiştir. Açık uçlu yanıtlar tematik analiz yöntemiyle incelenmiş; anlam birliği taşıyan ifadeler ortak başlıklar altında gruplandırılarak yorumlanmıştır.</w:t>
      </w:r>
    </w:p>
    <w:p w14:paraId="36400BFC" w14:textId="77A24147" w:rsidR="00E8377F" w:rsidRPr="003D475F" w:rsidRDefault="00E8377F" w:rsidP="00E8377F">
      <w:pPr>
        <w:pStyle w:val="Balk1"/>
        <w:numPr>
          <w:ilvl w:val="0"/>
          <w:numId w:val="7"/>
        </w:numPr>
      </w:pPr>
      <w:r w:rsidRPr="003D475F">
        <w:t>Bulgular</w:t>
      </w:r>
    </w:p>
    <w:p w14:paraId="52188083" w14:textId="091D3893" w:rsidR="00E8377F" w:rsidRPr="003D475F" w:rsidRDefault="00E8377F" w:rsidP="00E8377F">
      <w:pPr>
        <w:pStyle w:val="Balk1"/>
      </w:pPr>
      <w:r w:rsidRPr="003D475F">
        <w:t>Demografik Özellikler</w:t>
      </w:r>
    </w:p>
    <w:p w14:paraId="110703C0" w14:textId="1C2DFF43" w:rsidR="001D03C6" w:rsidRDefault="00DA578F" w:rsidP="00E8377F">
      <w:pPr>
        <w:spacing w:after="160"/>
        <w:rPr>
          <w:rFonts w:eastAsia="Arial"/>
          <w:color w:val="000000" w:themeColor="text1"/>
        </w:rPr>
      </w:pPr>
      <w:r w:rsidRPr="00DA578F">
        <w:rPr>
          <w:rFonts w:eastAsia="Arial"/>
          <w:color w:val="000000" w:themeColor="text1"/>
        </w:rPr>
        <w:t>Araştırmaya katılan 37 mezunun demografik profili Tablo 1'de sunulmaktadır. Katılımcıların yaş ortalaması 25,8 olup büyük çoğunluğunu (%64,9) kadın mezunlar oluşturmaktadır. Katılımcıların tamamına yakını lisans düzeyinde mezun olmuş olmakla birlikte, bir katılımcı (%2,7) lisans eğitiminin ardından yüksek lisans programını tamamlamıştır.</w:t>
      </w:r>
      <w:r w:rsidR="00E8377F" w:rsidRPr="003D475F">
        <w:rPr>
          <w:rFonts w:eastAsia="Arial"/>
          <w:color w:val="000000" w:themeColor="text1"/>
        </w:rPr>
        <w:t>.</w:t>
      </w:r>
      <w:r w:rsidR="001D03C6">
        <w:rPr>
          <w:rFonts w:eastAsia="Arial"/>
          <w:color w:val="000000" w:themeColor="text1"/>
        </w:rPr>
        <w:br w:type="page"/>
      </w:r>
    </w:p>
    <w:p w14:paraId="43DEA126" w14:textId="5491A2DB" w:rsidR="003D475F" w:rsidRPr="003D475F" w:rsidRDefault="003D475F">
      <w:pPr>
        <w:spacing w:before="0" w:after="200" w:line="276" w:lineRule="auto"/>
        <w:ind w:firstLine="0"/>
        <w:jc w:val="left"/>
        <w:rPr>
          <w:rFonts w:eastAsia="Arial"/>
          <w:color w:val="000000" w:themeColor="text1"/>
        </w:rPr>
      </w:pPr>
    </w:p>
    <w:p w14:paraId="698A161A" w14:textId="77777777" w:rsidR="00E8377F" w:rsidRPr="003D475F" w:rsidRDefault="00E8377F" w:rsidP="00E8377F">
      <w:pPr>
        <w:spacing w:after="80"/>
        <w:rPr>
          <w:color w:val="000000" w:themeColor="text1"/>
        </w:rPr>
      </w:pPr>
      <w:r w:rsidRPr="003D475F">
        <w:rPr>
          <w:rFonts w:eastAsia="Arial"/>
          <w:b/>
          <w:bCs/>
          <w:color w:val="000000" w:themeColor="text1"/>
          <w:sz w:val="20"/>
          <w:szCs w:val="20"/>
        </w:rPr>
        <w:t>Tablo 1. Katılımcıların Demografik Profili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2180"/>
        <w:gridCol w:w="2180"/>
      </w:tblGrid>
      <w:tr w:rsidR="00E8377F" w:rsidRPr="003D475F" w14:paraId="47E5B9E5"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717EDB41"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Değişken</w:t>
            </w:r>
          </w:p>
        </w:tc>
        <w:tc>
          <w:tcPr>
            <w:tcW w:w="2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2AAE3776"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Kategori</w:t>
            </w:r>
          </w:p>
        </w:tc>
        <w:tc>
          <w:tcPr>
            <w:tcW w:w="218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78928474"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n</w:t>
            </w:r>
          </w:p>
        </w:tc>
        <w:tc>
          <w:tcPr>
            <w:tcW w:w="218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27F04722"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w:t>
            </w:r>
          </w:p>
        </w:tc>
      </w:tr>
      <w:tr w:rsidR="00DA578F" w:rsidRPr="003D475F" w14:paraId="3AB6977C"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319582A"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Cinsiyet</w:t>
            </w:r>
          </w:p>
        </w:tc>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E581229"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Kadın</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3BD6CA2" w14:textId="0483F9A0" w:rsidR="00DA578F" w:rsidRPr="003D475F" w:rsidRDefault="00DA578F" w:rsidP="00DA578F">
            <w:pPr>
              <w:spacing w:after="0"/>
              <w:jc w:val="center"/>
              <w:rPr>
                <w:color w:val="000000" w:themeColor="text1"/>
              </w:rPr>
            </w:pPr>
            <w:r>
              <w:rPr>
                <w:rFonts w:ascii="Arial" w:eastAsia="Arial" w:hAnsi="Arial" w:cs="Arial"/>
                <w:color w:val="000000"/>
                <w:sz w:val="20"/>
                <w:szCs w:val="20"/>
              </w:rPr>
              <w:t>24</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4FD7677" w14:textId="298A0BC7" w:rsidR="00DA578F" w:rsidRPr="003D475F" w:rsidRDefault="00DA578F" w:rsidP="00DA578F">
            <w:pPr>
              <w:spacing w:after="0"/>
              <w:jc w:val="center"/>
              <w:rPr>
                <w:color w:val="000000" w:themeColor="text1"/>
              </w:rPr>
            </w:pPr>
            <w:r>
              <w:rPr>
                <w:rFonts w:ascii="Arial" w:eastAsia="Arial" w:hAnsi="Arial" w:cs="Arial"/>
                <w:color w:val="000000"/>
                <w:sz w:val="20"/>
                <w:szCs w:val="20"/>
              </w:rPr>
              <w:t>%64,9</w:t>
            </w:r>
          </w:p>
        </w:tc>
      </w:tr>
      <w:tr w:rsidR="00DA578F" w:rsidRPr="003D475F" w14:paraId="0BB81AAB"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09DE4B3D" w14:textId="77777777" w:rsidR="00DA578F" w:rsidRPr="003D475F" w:rsidRDefault="00DA578F" w:rsidP="00DA578F">
            <w:pPr>
              <w:spacing w:after="0"/>
              <w:jc w:val="center"/>
              <w:rPr>
                <w:color w:val="000000" w:themeColor="text1"/>
              </w:rPr>
            </w:pPr>
          </w:p>
        </w:tc>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FF918CF"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Erkek</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02399924" w14:textId="065AC58D" w:rsidR="00DA578F" w:rsidRPr="003D475F" w:rsidRDefault="00DA578F" w:rsidP="00DA578F">
            <w:pPr>
              <w:spacing w:after="0"/>
              <w:jc w:val="center"/>
              <w:rPr>
                <w:color w:val="000000" w:themeColor="text1"/>
              </w:rPr>
            </w:pPr>
            <w:r>
              <w:rPr>
                <w:rFonts w:ascii="Arial" w:eastAsia="Arial" w:hAnsi="Arial" w:cs="Arial"/>
                <w:color w:val="000000"/>
                <w:sz w:val="20"/>
                <w:szCs w:val="20"/>
              </w:rPr>
              <w:t>13</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76B4A8AE" w14:textId="7920845E" w:rsidR="00DA578F" w:rsidRPr="003D475F" w:rsidRDefault="00DA578F" w:rsidP="00DA578F">
            <w:pPr>
              <w:spacing w:after="0"/>
              <w:jc w:val="center"/>
              <w:rPr>
                <w:color w:val="000000" w:themeColor="text1"/>
              </w:rPr>
            </w:pPr>
            <w:r>
              <w:rPr>
                <w:rFonts w:ascii="Arial" w:eastAsia="Arial" w:hAnsi="Arial" w:cs="Arial"/>
                <w:color w:val="000000"/>
                <w:sz w:val="20"/>
                <w:szCs w:val="20"/>
              </w:rPr>
              <w:t>%35,1</w:t>
            </w:r>
          </w:p>
        </w:tc>
      </w:tr>
      <w:tr w:rsidR="00DA578F" w:rsidRPr="003D475F" w14:paraId="15DED75C"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0E3DB7A"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Eğitim Düzeyi</w:t>
            </w:r>
          </w:p>
        </w:tc>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067AA7E"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Lisans</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4046F14" w14:textId="0EDB0B58" w:rsidR="00DA578F" w:rsidRPr="003D475F" w:rsidRDefault="00DA578F" w:rsidP="00DA578F">
            <w:pPr>
              <w:spacing w:after="0"/>
              <w:jc w:val="center"/>
              <w:rPr>
                <w:color w:val="000000" w:themeColor="text1"/>
              </w:rPr>
            </w:pPr>
            <w:r>
              <w:rPr>
                <w:rFonts w:ascii="Arial" w:eastAsia="Arial" w:hAnsi="Arial" w:cs="Arial"/>
                <w:color w:val="000000"/>
                <w:sz w:val="20"/>
                <w:szCs w:val="20"/>
              </w:rPr>
              <w:t>36</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9261ACD" w14:textId="6448DEF1" w:rsidR="00DA578F" w:rsidRPr="003D475F" w:rsidRDefault="00DA578F" w:rsidP="00DA578F">
            <w:pPr>
              <w:spacing w:after="0"/>
              <w:jc w:val="center"/>
              <w:rPr>
                <w:color w:val="000000" w:themeColor="text1"/>
              </w:rPr>
            </w:pPr>
            <w:r>
              <w:rPr>
                <w:rFonts w:ascii="Arial" w:eastAsia="Arial" w:hAnsi="Arial" w:cs="Arial"/>
                <w:color w:val="000000"/>
                <w:sz w:val="20"/>
                <w:szCs w:val="20"/>
              </w:rPr>
              <w:t>%97,3</w:t>
            </w:r>
          </w:p>
        </w:tc>
      </w:tr>
      <w:tr w:rsidR="00DA578F" w:rsidRPr="003D475F" w14:paraId="72B0E333"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0F89055" w14:textId="77777777" w:rsidR="00DA578F" w:rsidRPr="003D475F" w:rsidRDefault="00DA578F" w:rsidP="00DA578F">
            <w:pPr>
              <w:spacing w:after="0"/>
              <w:jc w:val="center"/>
              <w:rPr>
                <w:color w:val="000000" w:themeColor="text1"/>
              </w:rPr>
            </w:pPr>
          </w:p>
        </w:tc>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7AC5D149"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Yüksek Lisans</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11FAD782" w14:textId="6F496D5B" w:rsidR="00DA578F" w:rsidRPr="003D475F" w:rsidRDefault="00DA578F" w:rsidP="00DA578F">
            <w:pPr>
              <w:spacing w:after="0"/>
              <w:jc w:val="center"/>
              <w:rPr>
                <w:color w:val="000000" w:themeColor="text1"/>
              </w:rPr>
            </w:pPr>
            <w:r>
              <w:rPr>
                <w:rFonts w:ascii="Arial" w:eastAsia="Arial" w:hAnsi="Arial" w:cs="Arial"/>
                <w:color w:val="000000"/>
                <w:sz w:val="20"/>
                <w:szCs w:val="20"/>
              </w:rPr>
              <w:t>1</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5F2A3E9D" w14:textId="4DA04FEB" w:rsidR="00DA578F" w:rsidRPr="003D475F" w:rsidRDefault="00DA578F" w:rsidP="00DA578F">
            <w:pPr>
              <w:spacing w:after="0"/>
              <w:jc w:val="center"/>
              <w:rPr>
                <w:color w:val="000000" w:themeColor="text1"/>
              </w:rPr>
            </w:pPr>
            <w:r>
              <w:rPr>
                <w:rFonts w:ascii="Arial" w:eastAsia="Arial" w:hAnsi="Arial" w:cs="Arial"/>
                <w:color w:val="000000"/>
                <w:sz w:val="20"/>
                <w:szCs w:val="20"/>
              </w:rPr>
              <w:t>%2,7</w:t>
            </w:r>
          </w:p>
        </w:tc>
      </w:tr>
      <w:tr w:rsidR="00DA578F" w:rsidRPr="003D475F" w14:paraId="68A7CB2B"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7091763"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İstihdam Durumu</w:t>
            </w:r>
          </w:p>
        </w:tc>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2D2EE2F"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Çalışıyor</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10843E8" w14:textId="5DBD8C37" w:rsidR="00DA578F" w:rsidRPr="003D475F" w:rsidRDefault="00DA578F" w:rsidP="00DA578F">
            <w:pPr>
              <w:spacing w:after="0"/>
              <w:jc w:val="center"/>
              <w:rPr>
                <w:color w:val="000000" w:themeColor="text1"/>
              </w:rPr>
            </w:pPr>
            <w:r>
              <w:rPr>
                <w:rFonts w:ascii="Arial" w:eastAsia="Arial" w:hAnsi="Arial" w:cs="Arial"/>
                <w:color w:val="000000"/>
                <w:sz w:val="20"/>
                <w:szCs w:val="20"/>
              </w:rPr>
              <w:t>25</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5221C62" w14:textId="16149B6C" w:rsidR="00DA578F" w:rsidRPr="003D475F" w:rsidRDefault="00DA578F" w:rsidP="00DA578F">
            <w:pPr>
              <w:spacing w:after="0"/>
              <w:jc w:val="center"/>
              <w:rPr>
                <w:color w:val="000000" w:themeColor="text1"/>
              </w:rPr>
            </w:pPr>
            <w:r>
              <w:rPr>
                <w:rFonts w:ascii="Arial" w:eastAsia="Arial" w:hAnsi="Arial" w:cs="Arial"/>
                <w:color w:val="000000"/>
                <w:sz w:val="20"/>
                <w:szCs w:val="20"/>
              </w:rPr>
              <w:t>%67,6</w:t>
            </w:r>
          </w:p>
        </w:tc>
      </w:tr>
      <w:tr w:rsidR="00DA578F" w:rsidRPr="003D475F" w14:paraId="7183B58F"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082A1C39" w14:textId="77777777" w:rsidR="00DA578F" w:rsidRPr="003D475F" w:rsidRDefault="00DA578F" w:rsidP="00DA578F">
            <w:pPr>
              <w:spacing w:after="0"/>
              <w:jc w:val="center"/>
              <w:rPr>
                <w:color w:val="000000" w:themeColor="text1"/>
              </w:rPr>
            </w:pPr>
          </w:p>
        </w:tc>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528963E3"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Çalışmıyor</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7BC9E99B" w14:textId="72C5C2A5" w:rsidR="00DA578F" w:rsidRPr="003D475F" w:rsidRDefault="00DA578F" w:rsidP="00DA578F">
            <w:pPr>
              <w:spacing w:after="0"/>
              <w:jc w:val="center"/>
              <w:rPr>
                <w:color w:val="000000" w:themeColor="text1"/>
              </w:rPr>
            </w:pPr>
            <w:r>
              <w:rPr>
                <w:rFonts w:ascii="Arial" w:eastAsia="Arial" w:hAnsi="Arial" w:cs="Arial"/>
                <w:color w:val="000000"/>
                <w:sz w:val="20"/>
                <w:szCs w:val="20"/>
              </w:rPr>
              <w:t>12</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0C13DFF7" w14:textId="6AC019C2" w:rsidR="00DA578F" w:rsidRPr="003D475F" w:rsidRDefault="00DA578F" w:rsidP="00DA578F">
            <w:pPr>
              <w:spacing w:after="0"/>
              <w:jc w:val="center"/>
              <w:rPr>
                <w:color w:val="000000" w:themeColor="text1"/>
              </w:rPr>
            </w:pPr>
            <w:r>
              <w:rPr>
                <w:rFonts w:ascii="Arial" w:eastAsia="Arial" w:hAnsi="Arial" w:cs="Arial"/>
                <w:color w:val="000000"/>
                <w:sz w:val="20"/>
                <w:szCs w:val="20"/>
              </w:rPr>
              <w:t>%32,4</w:t>
            </w:r>
          </w:p>
        </w:tc>
      </w:tr>
      <w:tr w:rsidR="00DA578F" w:rsidRPr="003D475F" w14:paraId="2D500FE0"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4D91CF1"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Sektör*</w:t>
            </w:r>
          </w:p>
        </w:tc>
        <w:tc>
          <w:tcPr>
            <w:tcW w:w="2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8383C43"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Özel Sektör</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06CDA11" w14:textId="7FFA0BAF" w:rsidR="00DA578F" w:rsidRPr="003D475F" w:rsidRDefault="00DA578F" w:rsidP="00DA578F">
            <w:pPr>
              <w:spacing w:after="0"/>
              <w:jc w:val="center"/>
              <w:rPr>
                <w:color w:val="000000" w:themeColor="text1"/>
              </w:rPr>
            </w:pPr>
            <w:r>
              <w:rPr>
                <w:rFonts w:ascii="Arial" w:eastAsia="Arial" w:hAnsi="Arial" w:cs="Arial"/>
                <w:color w:val="000000"/>
                <w:sz w:val="20"/>
                <w:szCs w:val="20"/>
              </w:rPr>
              <w:t>20</w:t>
            </w:r>
          </w:p>
        </w:tc>
        <w:tc>
          <w:tcPr>
            <w:tcW w:w="21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AF67E18" w14:textId="15CD968E" w:rsidR="00DA578F" w:rsidRPr="003D475F" w:rsidRDefault="00DA578F" w:rsidP="00DA578F">
            <w:pPr>
              <w:spacing w:after="0"/>
              <w:jc w:val="center"/>
              <w:rPr>
                <w:color w:val="000000" w:themeColor="text1"/>
              </w:rPr>
            </w:pPr>
            <w:r>
              <w:rPr>
                <w:rFonts w:ascii="Arial" w:eastAsia="Arial" w:hAnsi="Arial" w:cs="Arial"/>
                <w:color w:val="000000"/>
                <w:sz w:val="20"/>
                <w:szCs w:val="20"/>
              </w:rPr>
              <w:t>%80,0</w:t>
            </w:r>
          </w:p>
        </w:tc>
      </w:tr>
      <w:tr w:rsidR="00DA578F" w:rsidRPr="003D475F" w14:paraId="69736B31" w14:textId="77777777" w:rsidTr="008E30CA">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737DBDD8" w14:textId="77777777" w:rsidR="00DA578F" w:rsidRPr="003D475F" w:rsidRDefault="00DA578F" w:rsidP="00DA578F">
            <w:pPr>
              <w:spacing w:after="0"/>
              <w:jc w:val="center"/>
              <w:rPr>
                <w:color w:val="000000" w:themeColor="text1"/>
              </w:rPr>
            </w:pPr>
          </w:p>
        </w:tc>
        <w:tc>
          <w:tcPr>
            <w:tcW w:w="250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39E8ED86"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Kamu</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37ECF04B" w14:textId="56081BFC" w:rsidR="00DA578F" w:rsidRPr="003D475F" w:rsidRDefault="00DA578F" w:rsidP="00DA578F">
            <w:pPr>
              <w:spacing w:after="0"/>
              <w:jc w:val="center"/>
              <w:rPr>
                <w:color w:val="000000" w:themeColor="text1"/>
              </w:rPr>
            </w:pPr>
            <w:r>
              <w:rPr>
                <w:rFonts w:ascii="Arial" w:eastAsia="Arial" w:hAnsi="Arial" w:cs="Arial"/>
                <w:color w:val="000000"/>
                <w:sz w:val="20"/>
                <w:szCs w:val="20"/>
              </w:rPr>
              <w:t>5</w:t>
            </w:r>
          </w:p>
        </w:tc>
        <w:tc>
          <w:tcPr>
            <w:tcW w:w="21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17CB3315" w14:textId="312694F4" w:rsidR="00DA578F" w:rsidRPr="003D475F" w:rsidRDefault="00DA578F" w:rsidP="00DA578F">
            <w:pPr>
              <w:spacing w:after="0"/>
              <w:jc w:val="center"/>
              <w:rPr>
                <w:color w:val="000000" w:themeColor="text1"/>
              </w:rPr>
            </w:pPr>
            <w:r>
              <w:rPr>
                <w:rFonts w:ascii="Arial" w:eastAsia="Arial" w:hAnsi="Arial" w:cs="Arial"/>
                <w:color w:val="000000"/>
                <w:sz w:val="20"/>
                <w:szCs w:val="20"/>
              </w:rPr>
              <w:t>%20,0</w:t>
            </w:r>
          </w:p>
        </w:tc>
      </w:tr>
    </w:tbl>
    <w:p w14:paraId="0BE42A58" w14:textId="4BD0CABB" w:rsidR="00E8377F" w:rsidRPr="003D475F" w:rsidRDefault="00E8377F" w:rsidP="00E8377F">
      <w:pPr>
        <w:spacing w:after="200"/>
        <w:rPr>
          <w:color w:val="000000" w:themeColor="text1"/>
        </w:rPr>
      </w:pPr>
      <w:r w:rsidRPr="003D475F">
        <w:rPr>
          <w:rFonts w:eastAsia="Arial"/>
          <w:color w:val="000000" w:themeColor="text1"/>
          <w:sz w:val="18"/>
          <w:szCs w:val="18"/>
        </w:rPr>
        <w:t>* Yalnızca çalışan mezunlar (n=2</w:t>
      </w:r>
      <w:r w:rsidR="00DA578F">
        <w:rPr>
          <w:rFonts w:eastAsia="Arial"/>
          <w:color w:val="000000" w:themeColor="text1"/>
          <w:sz w:val="18"/>
          <w:szCs w:val="18"/>
        </w:rPr>
        <w:t>5</w:t>
      </w:r>
      <w:r w:rsidRPr="003D475F">
        <w:rPr>
          <w:rFonts w:eastAsia="Arial"/>
          <w:color w:val="000000" w:themeColor="text1"/>
          <w:sz w:val="18"/>
          <w:szCs w:val="18"/>
        </w:rPr>
        <w:t>) için hesaplanmıştır.</w:t>
      </w:r>
    </w:p>
    <w:p w14:paraId="4B3928E4" w14:textId="77777777" w:rsidR="00E8377F" w:rsidRPr="003D475F" w:rsidRDefault="00E8377F" w:rsidP="00E8377F">
      <w:pPr>
        <w:rPr>
          <w:color w:val="000000" w:themeColor="text1"/>
        </w:rPr>
      </w:pPr>
    </w:p>
    <w:p w14:paraId="6AE29222" w14:textId="77777777" w:rsidR="00E8377F" w:rsidRDefault="00E8377F" w:rsidP="00E8377F">
      <w:pPr>
        <w:spacing w:after="160"/>
        <w:rPr>
          <w:rFonts w:eastAsia="Arial"/>
          <w:color w:val="000000" w:themeColor="text1"/>
        </w:rPr>
      </w:pPr>
      <w:r w:rsidRPr="003D475F">
        <w:rPr>
          <w:rFonts w:eastAsia="Arial"/>
          <w:color w:val="000000" w:themeColor="text1"/>
        </w:rPr>
        <w:t>Cinsiyet dağılımı Şekil 1'de görselleştirilmektedir. Kadın mezunların oransal ağırlığı, bölümün genel öğrenci profiline koşut bir yapı sergilediğine işaret etmektedir.</w:t>
      </w:r>
    </w:p>
    <w:p w14:paraId="76A33C74" w14:textId="6F531679" w:rsidR="00DA578F" w:rsidRPr="003D475F" w:rsidRDefault="00DA578F" w:rsidP="00DA578F">
      <w:pPr>
        <w:spacing w:after="160"/>
        <w:jc w:val="center"/>
        <w:rPr>
          <w:color w:val="000000" w:themeColor="text1"/>
        </w:rPr>
      </w:pPr>
      <w:r>
        <w:rPr>
          <w:noProof/>
        </w:rPr>
        <w:drawing>
          <wp:inline distT="0" distB="0" distL="0" distR="0" wp14:anchorId="619202F0" wp14:editId="39878914">
            <wp:extent cx="2667000" cy="2143125"/>
            <wp:effectExtent l="0" t="0" r="0" b="0"/>
            <wp:docPr id="154735734" name="Resim 15473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667000" cy="2143125"/>
                    </a:xfrm>
                    <a:prstGeom prst="rect">
                      <a:avLst/>
                    </a:prstGeom>
                  </pic:spPr>
                </pic:pic>
              </a:graphicData>
            </a:graphic>
          </wp:inline>
        </w:drawing>
      </w:r>
    </w:p>
    <w:p w14:paraId="110D245B" w14:textId="399B534D" w:rsidR="00E8377F" w:rsidRPr="003D475F" w:rsidRDefault="00E8377F" w:rsidP="00E8377F">
      <w:pPr>
        <w:spacing w:after="80"/>
        <w:jc w:val="center"/>
        <w:rPr>
          <w:color w:val="000000" w:themeColor="text1"/>
        </w:rPr>
      </w:pPr>
    </w:p>
    <w:p w14:paraId="4038703B" w14:textId="77777777" w:rsidR="00E8377F" w:rsidRPr="003D475F" w:rsidRDefault="00E8377F" w:rsidP="00E8377F">
      <w:pPr>
        <w:spacing w:before="80" w:after="240"/>
        <w:jc w:val="center"/>
        <w:rPr>
          <w:color w:val="000000" w:themeColor="text1"/>
        </w:rPr>
      </w:pPr>
      <w:r w:rsidRPr="003D475F">
        <w:rPr>
          <w:rFonts w:eastAsia="Arial"/>
          <w:color w:val="000000" w:themeColor="text1"/>
          <w:sz w:val="18"/>
          <w:szCs w:val="18"/>
        </w:rPr>
        <w:t>Şekil 1. Cinsiyet Dağılımı (n=34)</w:t>
      </w:r>
    </w:p>
    <w:p w14:paraId="5036519D" w14:textId="45ABA6C3" w:rsidR="00E8377F" w:rsidRPr="003D475F" w:rsidRDefault="00E8377F" w:rsidP="00E8377F">
      <w:pPr>
        <w:pStyle w:val="Balk1"/>
      </w:pPr>
      <w:r w:rsidRPr="003D475F">
        <w:rPr>
          <w:rFonts w:eastAsia="Arial"/>
        </w:rPr>
        <w:lastRenderedPageBreak/>
        <w:t>Mezuniyet Yılı Dağılımı</w:t>
      </w:r>
    </w:p>
    <w:p w14:paraId="4EE5C721" w14:textId="65893868" w:rsidR="00E8377F" w:rsidRPr="003D475F" w:rsidRDefault="00E8377F" w:rsidP="00E8377F">
      <w:pPr>
        <w:spacing w:after="160"/>
        <w:rPr>
          <w:color w:val="000000" w:themeColor="text1"/>
        </w:rPr>
      </w:pPr>
      <w:r w:rsidRPr="003D475F">
        <w:rPr>
          <w:rFonts w:eastAsia="Arial"/>
          <w:color w:val="000000" w:themeColor="text1"/>
        </w:rPr>
        <w:t xml:space="preserve">Ankete katılan mezunların mezuniyet yıllarına göre dağılımı Tablo 2 ve Şekil 2'de verilmektedir. </w:t>
      </w:r>
    </w:p>
    <w:p w14:paraId="601527AF" w14:textId="77777777" w:rsidR="00E8377F" w:rsidRPr="003D475F" w:rsidRDefault="00E8377F" w:rsidP="00E8377F">
      <w:pPr>
        <w:rPr>
          <w:color w:val="000000" w:themeColor="text1"/>
        </w:rPr>
      </w:pPr>
    </w:p>
    <w:p w14:paraId="26A05797" w14:textId="77777777" w:rsidR="00E8377F" w:rsidRPr="003D475F" w:rsidRDefault="00E8377F" w:rsidP="00E8377F">
      <w:pPr>
        <w:spacing w:after="80"/>
        <w:rPr>
          <w:color w:val="000000" w:themeColor="text1"/>
        </w:rPr>
      </w:pPr>
      <w:r w:rsidRPr="003D475F">
        <w:rPr>
          <w:rFonts w:eastAsia="Arial"/>
          <w:b/>
          <w:bCs/>
          <w:color w:val="000000" w:themeColor="text1"/>
          <w:sz w:val="20"/>
          <w:szCs w:val="20"/>
        </w:rPr>
        <w:t>Tablo 2. Mezuniyet Yılına Göre Dağılım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E8377F" w:rsidRPr="003D475F" w14:paraId="47A17517"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704D0EB9"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Mezuniyet Yılı</w:t>
            </w:r>
          </w:p>
        </w:tc>
        <w:tc>
          <w:tcPr>
            <w:tcW w:w="31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573ACB5D"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n</w:t>
            </w:r>
          </w:p>
        </w:tc>
        <w:tc>
          <w:tcPr>
            <w:tcW w:w="31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059887E1"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w:t>
            </w:r>
          </w:p>
        </w:tc>
      </w:tr>
      <w:tr w:rsidR="00DA578F" w:rsidRPr="003D475F" w14:paraId="38A95411"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15CF98"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2020</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C9C4B3" w14:textId="082A8676" w:rsidR="00DA578F" w:rsidRPr="003D475F" w:rsidRDefault="00DA578F" w:rsidP="00DA578F">
            <w:pPr>
              <w:spacing w:after="0"/>
              <w:jc w:val="center"/>
              <w:rPr>
                <w:color w:val="000000" w:themeColor="text1"/>
              </w:rPr>
            </w:pPr>
            <w:r>
              <w:rPr>
                <w:rFonts w:ascii="Arial" w:eastAsia="Arial" w:hAnsi="Arial" w:cs="Arial"/>
                <w:color w:val="000000"/>
                <w:sz w:val="20"/>
                <w:szCs w:val="20"/>
              </w:rPr>
              <w:t>9</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8BCFA2" w14:textId="1305DFE6" w:rsidR="00DA578F" w:rsidRPr="003D475F" w:rsidRDefault="00DA578F" w:rsidP="00DA578F">
            <w:pPr>
              <w:spacing w:after="0"/>
              <w:jc w:val="center"/>
              <w:rPr>
                <w:color w:val="000000" w:themeColor="text1"/>
              </w:rPr>
            </w:pPr>
            <w:r>
              <w:rPr>
                <w:rFonts w:ascii="Arial" w:eastAsia="Arial" w:hAnsi="Arial" w:cs="Arial"/>
                <w:color w:val="000000"/>
                <w:sz w:val="20"/>
                <w:szCs w:val="20"/>
              </w:rPr>
              <w:t>%24,3</w:t>
            </w:r>
          </w:p>
        </w:tc>
      </w:tr>
      <w:tr w:rsidR="00DA578F" w:rsidRPr="003D475F" w14:paraId="0B020E0D"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530ADE53"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2021</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6300014C" w14:textId="3E7CC31A" w:rsidR="00DA578F" w:rsidRPr="003D475F" w:rsidRDefault="00DA578F" w:rsidP="00DA578F">
            <w:pPr>
              <w:spacing w:after="0"/>
              <w:jc w:val="center"/>
              <w:rPr>
                <w:color w:val="000000" w:themeColor="text1"/>
              </w:rPr>
            </w:pPr>
            <w:r>
              <w:rPr>
                <w:rFonts w:ascii="Arial" w:eastAsia="Arial" w:hAnsi="Arial" w:cs="Arial"/>
                <w:color w:val="000000"/>
                <w:sz w:val="20"/>
                <w:szCs w:val="20"/>
              </w:rPr>
              <w:t>11</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123EB713" w14:textId="2033CD34" w:rsidR="00DA578F" w:rsidRPr="003D475F" w:rsidRDefault="00DA578F" w:rsidP="00DA578F">
            <w:pPr>
              <w:spacing w:after="0"/>
              <w:jc w:val="center"/>
              <w:rPr>
                <w:color w:val="000000" w:themeColor="text1"/>
              </w:rPr>
            </w:pPr>
            <w:r>
              <w:rPr>
                <w:rFonts w:ascii="Arial" w:eastAsia="Arial" w:hAnsi="Arial" w:cs="Arial"/>
                <w:color w:val="000000"/>
                <w:sz w:val="20"/>
                <w:szCs w:val="20"/>
              </w:rPr>
              <w:t>%29,7</w:t>
            </w:r>
          </w:p>
        </w:tc>
      </w:tr>
      <w:tr w:rsidR="00DA578F" w:rsidRPr="003D475F" w14:paraId="707F3BBA"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8E1BA66"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2022</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6B8C54E" w14:textId="128501F3" w:rsidR="00DA578F" w:rsidRPr="003D475F" w:rsidRDefault="00DA578F" w:rsidP="00DA578F">
            <w:pPr>
              <w:spacing w:after="0"/>
              <w:jc w:val="center"/>
              <w:rPr>
                <w:color w:val="000000" w:themeColor="text1"/>
              </w:rPr>
            </w:pPr>
            <w:r>
              <w:rPr>
                <w:rFonts w:ascii="Arial" w:eastAsia="Arial" w:hAnsi="Arial" w:cs="Arial"/>
                <w:color w:val="000000"/>
                <w:sz w:val="20"/>
                <w:szCs w:val="20"/>
              </w:rPr>
              <w:t>7</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9760A8A" w14:textId="78E6448E" w:rsidR="00DA578F" w:rsidRPr="003D475F" w:rsidRDefault="00DA578F" w:rsidP="00DA578F">
            <w:pPr>
              <w:spacing w:after="0"/>
              <w:jc w:val="center"/>
              <w:rPr>
                <w:color w:val="000000" w:themeColor="text1"/>
              </w:rPr>
            </w:pPr>
            <w:r>
              <w:rPr>
                <w:rFonts w:ascii="Arial" w:eastAsia="Arial" w:hAnsi="Arial" w:cs="Arial"/>
                <w:color w:val="000000"/>
                <w:sz w:val="20"/>
                <w:szCs w:val="20"/>
              </w:rPr>
              <w:t>%18,9</w:t>
            </w:r>
          </w:p>
        </w:tc>
      </w:tr>
      <w:tr w:rsidR="00DA578F" w:rsidRPr="003D475F" w14:paraId="46D68E53"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5C23487A"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2023</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50A05E8A" w14:textId="419F6E1B" w:rsidR="00DA578F" w:rsidRPr="003D475F" w:rsidRDefault="00DA578F" w:rsidP="00DA578F">
            <w:pPr>
              <w:spacing w:after="0"/>
              <w:jc w:val="center"/>
              <w:rPr>
                <w:color w:val="000000" w:themeColor="text1"/>
              </w:rPr>
            </w:pPr>
            <w:r>
              <w:rPr>
                <w:rFonts w:ascii="Arial" w:eastAsia="Arial" w:hAnsi="Arial" w:cs="Arial"/>
                <w:color w:val="000000"/>
                <w:sz w:val="20"/>
                <w:szCs w:val="20"/>
              </w:rPr>
              <w:t>2</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3357B564" w14:textId="354DCFF6" w:rsidR="00DA578F" w:rsidRPr="003D475F" w:rsidRDefault="00DA578F" w:rsidP="00DA578F">
            <w:pPr>
              <w:spacing w:after="0"/>
              <w:jc w:val="center"/>
              <w:rPr>
                <w:color w:val="000000" w:themeColor="text1"/>
              </w:rPr>
            </w:pPr>
            <w:r>
              <w:rPr>
                <w:rFonts w:ascii="Arial" w:eastAsia="Arial" w:hAnsi="Arial" w:cs="Arial"/>
                <w:color w:val="000000"/>
                <w:sz w:val="20"/>
                <w:szCs w:val="20"/>
              </w:rPr>
              <w:t>%5,4</w:t>
            </w:r>
          </w:p>
        </w:tc>
      </w:tr>
      <w:tr w:rsidR="00DA578F" w:rsidRPr="003D475F" w14:paraId="4114C043"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01EED8E" w14:textId="77777777" w:rsidR="00DA578F" w:rsidRPr="003D475F" w:rsidRDefault="00DA578F" w:rsidP="00DA578F">
            <w:pPr>
              <w:spacing w:after="0"/>
              <w:jc w:val="center"/>
              <w:rPr>
                <w:color w:val="000000" w:themeColor="text1"/>
              </w:rPr>
            </w:pPr>
            <w:r w:rsidRPr="003D475F">
              <w:rPr>
                <w:rFonts w:eastAsia="Arial"/>
                <w:color w:val="000000" w:themeColor="text1"/>
                <w:sz w:val="20"/>
                <w:szCs w:val="20"/>
              </w:rPr>
              <w:t>2024</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D8C2D8A" w14:textId="3C517C02" w:rsidR="00DA578F" w:rsidRPr="003D475F" w:rsidRDefault="00DA578F" w:rsidP="00DA578F">
            <w:pPr>
              <w:spacing w:after="0"/>
              <w:jc w:val="center"/>
              <w:rPr>
                <w:color w:val="000000" w:themeColor="text1"/>
              </w:rPr>
            </w:pPr>
            <w:r>
              <w:rPr>
                <w:rFonts w:ascii="Arial" w:eastAsia="Arial" w:hAnsi="Arial" w:cs="Arial"/>
                <w:color w:val="000000"/>
                <w:sz w:val="20"/>
                <w:szCs w:val="20"/>
              </w:rPr>
              <w:t>8</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5BBCF83" w14:textId="16649107" w:rsidR="00DA578F" w:rsidRPr="003D475F" w:rsidRDefault="00DA578F" w:rsidP="00DA578F">
            <w:pPr>
              <w:spacing w:after="0"/>
              <w:jc w:val="center"/>
              <w:rPr>
                <w:color w:val="000000" w:themeColor="text1"/>
              </w:rPr>
            </w:pPr>
            <w:r>
              <w:rPr>
                <w:rFonts w:ascii="Arial" w:eastAsia="Arial" w:hAnsi="Arial" w:cs="Arial"/>
                <w:color w:val="000000"/>
                <w:sz w:val="20"/>
                <w:szCs w:val="20"/>
              </w:rPr>
              <w:t>%21,6</w:t>
            </w:r>
          </w:p>
        </w:tc>
      </w:tr>
      <w:tr w:rsidR="00E8377F" w:rsidRPr="003D475F" w14:paraId="15F98287"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5420A4ED"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Toplam</w:t>
            </w:r>
          </w:p>
        </w:tc>
        <w:tc>
          <w:tcPr>
            <w:tcW w:w="312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03640918" w14:textId="67DABB76" w:rsidR="00E8377F" w:rsidRPr="003D475F" w:rsidRDefault="00E8377F" w:rsidP="001D03C6">
            <w:pPr>
              <w:spacing w:after="0"/>
              <w:jc w:val="center"/>
              <w:rPr>
                <w:color w:val="000000" w:themeColor="text1"/>
              </w:rPr>
            </w:pPr>
            <w:r w:rsidRPr="003D475F">
              <w:rPr>
                <w:rFonts w:eastAsia="Arial"/>
                <w:b/>
                <w:bCs/>
                <w:color w:val="000000" w:themeColor="text1"/>
                <w:sz w:val="20"/>
                <w:szCs w:val="20"/>
              </w:rPr>
              <w:t>3</w:t>
            </w:r>
            <w:r w:rsidR="00DA578F">
              <w:rPr>
                <w:rFonts w:eastAsia="Arial"/>
                <w:b/>
                <w:bCs/>
                <w:color w:val="000000" w:themeColor="text1"/>
                <w:sz w:val="20"/>
                <w:szCs w:val="20"/>
              </w:rPr>
              <w:t>7</w:t>
            </w:r>
          </w:p>
        </w:tc>
        <w:tc>
          <w:tcPr>
            <w:tcW w:w="312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2FBD8DE6"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%100,0</w:t>
            </w:r>
          </w:p>
        </w:tc>
      </w:tr>
    </w:tbl>
    <w:p w14:paraId="201143F2" w14:textId="77777777" w:rsidR="00E8377F" w:rsidRPr="003D475F" w:rsidRDefault="00E8377F" w:rsidP="00E8377F">
      <w:pPr>
        <w:rPr>
          <w:color w:val="000000" w:themeColor="text1"/>
        </w:rPr>
      </w:pPr>
    </w:p>
    <w:p w14:paraId="516858A7" w14:textId="1C561782" w:rsidR="00E8377F" w:rsidRPr="003D475F" w:rsidRDefault="00DA578F" w:rsidP="00E8377F">
      <w:pPr>
        <w:spacing w:after="80"/>
        <w:jc w:val="center"/>
        <w:rPr>
          <w:color w:val="000000" w:themeColor="text1"/>
        </w:rPr>
      </w:pPr>
      <w:r>
        <w:rPr>
          <w:noProof/>
        </w:rPr>
        <w:drawing>
          <wp:inline distT="0" distB="0" distL="0" distR="0" wp14:anchorId="2DD09CBC" wp14:editId="3719AF37">
            <wp:extent cx="3619500" cy="2047875"/>
            <wp:effectExtent l="0" t="0" r="0" b="0"/>
            <wp:docPr id="243150587" name="Resim 24315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3619500" cy="2047875"/>
                    </a:xfrm>
                    <a:prstGeom prst="rect">
                      <a:avLst/>
                    </a:prstGeom>
                  </pic:spPr>
                </pic:pic>
              </a:graphicData>
            </a:graphic>
          </wp:inline>
        </w:drawing>
      </w:r>
    </w:p>
    <w:p w14:paraId="2B1DF249" w14:textId="0E44D1E6" w:rsidR="001D03C6" w:rsidRDefault="00E8377F" w:rsidP="00E8377F">
      <w:pPr>
        <w:spacing w:before="80" w:after="240"/>
        <w:jc w:val="center"/>
        <w:rPr>
          <w:rFonts w:eastAsia="Arial"/>
          <w:color w:val="000000" w:themeColor="text1"/>
          <w:sz w:val="18"/>
          <w:szCs w:val="18"/>
        </w:rPr>
      </w:pPr>
      <w:r w:rsidRPr="003D475F">
        <w:rPr>
          <w:rFonts w:eastAsia="Arial"/>
          <w:color w:val="000000" w:themeColor="text1"/>
          <w:sz w:val="18"/>
          <w:szCs w:val="18"/>
        </w:rPr>
        <w:t>Şekil 2. Mezuniyet Yılına Göre Dağılım (n=3</w:t>
      </w:r>
      <w:r w:rsidR="00DA578F">
        <w:rPr>
          <w:rFonts w:eastAsia="Arial"/>
          <w:color w:val="000000" w:themeColor="text1"/>
          <w:sz w:val="18"/>
          <w:szCs w:val="18"/>
        </w:rPr>
        <w:t>7</w:t>
      </w:r>
      <w:r w:rsidRPr="003D475F">
        <w:rPr>
          <w:rFonts w:eastAsia="Arial"/>
          <w:color w:val="000000" w:themeColor="text1"/>
          <w:sz w:val="18"/>
          <w:szCs w:val="18"/>
        </w:rPr>
        <w:t>)</w:t>
      </w:r>
      <w:r w:rsidR="001D03C6">
        <w:rPr>
          <w:rFonts w:eastAsia="Arial"/>
          <w:color w:val="000000" w:themeColor="text1"/>
          <w:sz w:val="18"/>
          <w:szCs w:val="18"/>
        </w:rPr>
        <w:br w:type="page"/>
      </w:r>
    </w:p>
    <w:p w14:paraId="315CD26D" w14:textId="5668085D" w:rsidR="003D475F" w:rsidRDefault="003D475F">
      <w:pPr>
        <w:spacing w:before="0" w:after="200" w:line="276" w:lineRule="auto"/>
        <w:ind w:firstLine="0"/>
        <w:jc w:val="left"/>
        <w:rPr>
          <w:rFonts w:eastAsia="Arial"/>
          <w:color w:val="000000" w:themeColor="text1"/>
          <w:sz w:val="18"/>
          <w:szCs w:val="18"/>
        </w:rPr>
      </w:pPr>
    </w:p>
    <w:p w14:paraId="36E49869" w14:textId="50248CCE" w:rsidR="00E8377F" w:rsidRPr="003D475F" w:rsidRDefault="00E8377F" w:rsidP="00E8377F">
      <w:pPr>
        <w:pStyle w:val="Balk1"/>
      </w:pPr>
      <w:r w:rsidRPr="003D475F">
        <w:rPr>
          <w:rFonts w:eastAsia="Arial"/>
        </w:rPr>
        <w:t>İstihdam Durumu ve Sektör Dağılımı</w:t>
      </w:r>
    </w:p>
    <w:p w14:paraId="7AB7CF54" w14:textId="3483623B" w:rsidR="00E8377F" w:rsidRPr="003D475F" w:rsidRDefault="00DA578F" w:rsidP="00E8377F">
      <w:pPr>
        <w:spacing w:after="160"/>
        <w:rPr>
          <w:color w:val="000000" w:themeColor="text1"/>
        </w:rPr>
      </w:pPr>
      <w:r w:rsidRPr="00DA578F">
        <w:rPr>
          <w:rFonts w:eastAsia="Arial"/>
          <w:color w:val="000000" w:themeColor="text1"/>
        </w:rPr>
        <w:t>Katılımcıların %67,6'sı (n=25) anket tarihinde aktif bir işte çalıştığını bildirmiştir. Çalışmayan 12 mezunun yanıtları incelendiğinde, bir bölümünün aktif iş arayışında olduğu, bir bölümünün ise kamu sınavlarına hazırlandığı anlaşılmaktadır. İstihdam durumuna ilişkin dağılım Şekil 3'te, çalışan mezunların sektörel dağılımı ise Şekil 4'te sunulmaktadır</w:t>
      </w:r>
      <w:r w:rsidR="00E8377F" w:rsidRPr="003D475F">
        <w:rPr>
          <w:rFonts w:eastAsia="Arial"/>
          <w:color w:val="000000" w:themeColor="text1"/>
        </w:rPr>
        <w:t>.</w:t>
      </w:r>
    </w:p>
    <w:p w14:paraId="7899CBE3" w14:textId="63BC6FCB" w:rsidR="00E8377F" w:rsidRPr="003D475F" w:rsidRDefault="00DA578F" w:rsidP="00E8377F">
      <w:pPr>
        <w:spacing w:after="80"/>
        <w:jc w:val="center"/>
        <w:rPr>
          <w:color w:val="000000" w:themeColor="text1"/>
        </w:rPr>
      </w:pPr>
      <w:r>
        <w:rPr>
          <w:noProof/>
        </w:rPr>
        <w:drawing>
          <wp:inline distT="0" distB="0" distL="0" distR="0" wp14:anchorId="4F19A88B" wp14:editId="2663C89F">
            <wp:extent cx="2667000" cy="2143125"/>
            <wp:effectExtent l="0" t="0" r="0" b="0"/>
            <wp:docPr id="967333710" name="Resim 96733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667000" cy="2143125"/>
                    </a:xfrm>
                    <a:prstGeom prst="rect">
                      <a:avLst/>
                    </a:prstGeom>
                  </pic:spPr>
                </pic:pic>
              </a:graphicData>
            </a:graphic>
          </wp:inline>
        </w:drawing>
      </w:r>
    </w:p>
    <w:p w14:paraId="3F2FC5C4" w14:textId="629C6E37" w:rsidR="00E8377F" w:rsidRPr="003D475F" w:rsidRDefault="00E8377F" w:rsidP="00E8377F">
      <w:pPr>
        <w:spacing w:before="80" w:after="240"/>
        <w:jc w:val="center"/>
        <w:rPr>
          <w:color w:val="000000" w:themeColor="text1"/>
        </w:rPr>
      </w:pPr>
      <w:r w:rsidRPr="003D475F">
        <w:rPr>
          <w:rFonts w:eastAsia="Arial"/>
          <w:color w:val="000000" w:themeColor="text1"/>
          <w:sz w:val="18"/>
          <w:szCs w:val="18"/>
        </w:rPr>
        <w:t>Şekil 3. İstihdam Durumu (n=3</w:t>
      </w:r>
      <w:r w:rsidR="00DA578F">
        <w:rPr>
          <w:rFonts w:eastAsia="Arial"/>
          <w:color w:val="000000" w:themeColor="text1"/>
          <w:sz w:val="18"/>
          <w:szCs w:val="18"/>
        </w:rPr>
        <w:t>7</w:t>
      </w:r>
      <w:r w:rsidRPr="003D475F">
        <w:rPr>
          <w:rFonts w:eastAsia="Arial"/>
          <w:color w:val="000000" w:themeColor="text1"/>
          <w:sz w:val="18"/>
          <w:szCs w:val="18"/>
        </w:rPr>
        <w:t>)</w:t>
      </w:r>
    </w:p>
    <w:p w14:paraId="26C2C540" w14:textId="1D4DDDC5" w:rsidR="00E8377F" w:rsidRPr="003D475F" w:rsidRDefault="00DA578F" w:rsidP="00E8377F">
      <w:pPr>
        <w:spacing w:after="160"/>
        <w:rPr>
          <w:color w:val="000000" w:themeColor="text1"/>
        </w:rPr>
      </w:pPr>
      <w:r w:rsidRPr="00DA578F">
        <w:rPr>
          <w:rFonts w:eastAsia="Arial"/>
          <w:color w:val="000000" w:themeColor="text1"/>
        </w:rPr>
        <w:t>Çalışan 25 mezunun %80,0'ı özel sektörde, %20,0'ı ise kamuda istihdam edilmektedir</w:t>
      </w:r>
      <w:r w:rsidR="00E8377F" w:rsidRPr="003D475F">
        <w:rPr>
          <w:rFonts w:eastAsia="Arial"/>
          <w:color w:val="000000" w:themeColor="text1"/>
        </w:rPr>
        <w:t>. Bu oran, mezunların büyük çoğunluğunun özel sektöre yöneldiğini ortaya koymaktadır.</w:t>
      </w:r>
    </w:p>
    <w:p w14:paraId="1915E1F3" w14:textId="611CE046" w:rsidR="00E8377F" w:rsidRPr="003D475F" w:rsidRDefault="00DA578F" w:rsidP="00E8377F">
      <w:pPr>
        <w:spacing w:after="80"/>
        <w:jc w:val="center"/>
        <w:rPr>
          <w:color w:val="000000" w:themeColor="text1"/>
        </w:rPr>
      </w:pPr>
      <w:r>
        <w:rPr>
          <w:noProof/>
        </w:rPr>
        <w:drawing>
          <wp:inline distT="0" distB="0" distL="0" distR="0" wp14:anchorId="2BD4C150" wp14:editId="1C08D269">
            <wp:extent cx="2667000" cy="2143125"/>
            <wp:effectExtent l="0" t="0" r="0" b="0"/>
            <wp:docPr id="1697213669" name="Resim 169721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667000" cy="2143125"/>
                    </a:xfrm>
                    <a:prstGeom prst="rect">
                      <a:avLst/>
                    </a:prstGeom>
                  </pic:spPr>
                </pic:pic>
              </a:graphicData>
            </a:graphic>
          </wp:inline>
        </w:drawing>
      </w:r>
    </w:p>
    <w:p w14:paraId="7789D581" w14:textId="15475A12" w:rsidR="001D03C6" w:rsidRDefault="00E8377F" w:rsidP="00E8377F">
      <w:pPr>
        <w:spacing w:before="80" w:after="240"/>
        <w:jc w:val="center"/>
        <w:rPr>
          <w:rFonts w:eastAsia="Arial"/>
          <w:color w:val="000000" w:themeColor="text1"/>
          <w:sz w:val="18"/>
          <w:szCs w:val="18"/>
        </w:rPr>
      </w:pPr>
      <w:r w:rsidRPr="003D475F">
        <w:rPr>
          <w:rFonts w:eastAsia="Arial"/>
          <w:color w:val="000000" w:themeColor="text1"/>
          <w:sz w:val="18"/>
          <w:szCs w:val="18"/>
        </w:rPr>
        <w:t>Şekil 4. Sektör Dağılımı (Çalışan Mezunlar, n=2</w:t>
      </w:r>
      <w:r w:rsidR="00DA578F">
        <w:rPr>
          <w:rFonts w:eastAsia="Arial"/>
          <w:color w:val="000000" w:themeColor="text1"/>
          <w:sz w:val="18"/>
          <w:szCs w:val="18"/>
        </w:rPr>
        <w:t>5</w:t>
      </w:r>
      <w:r w:rsidRPr="003D475F">
        <w:rPr>
          <w:rFonts w:eastAsia="Arial"/>
          <w:color w:val="000000" w:themeColor="text1"/>
          <w:sz w:val="18"/>
          <w:szCs w:val="18"/>
        </w:rPr>
        <w:t>)</w:t>
      </w:r>
      <w:r w:rsidR="001D03C6">
        <w:rPr>
          <w:rFonts w:eastAsia="Arial"/>
          <w:color w:val="000000" w:themeColor="text1"/>
          <w:sz w:val="18"/>
          <w:szCs w:val="18"/>
        </w:rPr>
        <w:br w:type="page"/>
      </w:r>
    </w:p>
    <w:p w14:paraId="7DD0B8D6" w14:textId="46656577" w:rsidR="00E8377F" w:rsidRPr="003D475F" w:rsidRDefault="00E8377F" w:rsidP="00E8377F">
      <w:pPr>
        <w:pStyle w:val="Balk1"/>
      </w:pPr>
      <w:r w:rsidRPr="003D475F">
        <w:rPr>
          <w:rFonts w:eastAsia="Arial"/>
        </w:rPr>
        <w:lastRenderedPageBreak/>
        <w:t>Çalışma Alanları</w:t>
      </w:r>
    </w:p>
    <w:p w14:paraId="4B4FD710" w14:textId="3BCC70CF" w:rsidR="001D03C6" w:rsidRDefault="00E8377F" w:rsidP="00E8377F">
      <w:pPr>
        <w:spacing w:after="160"/>
        <w:rPr>
          <w:rFonts w:eastAsia="Arial"/>
          <w:color w:val="000000" w:themeColor="text1"/>
        </w:rPr>
      </w:pPr>
      <w:r w:rsidRPr="003D475F">
        <w:rPr>
          <w:rFonts w:eastAsia="Arial"/>
          <w:color w:val="000000" w:themeColor="text1"/>
        </w:rPr>
        <w:t>Çalışan mezunların görev yaptıkları pozisyonlar tematik kümeler halinde sınıflandırılarak Tablo 3 ve Şekil 5'te sunulmaktadır. Muhasebe/mali işler (%2</w:t>
      </w:r>
      <w:r w:rsidR="00DA578F">
        <w:rPr>
          <w:rFonts w:eastAsia="Arial"/>
          <w:color w:val="000000" w:themeColor="text1"/>
        </w:rPr>
        <w:t>0</w:t>
      </w:r>
      <w:r w:rsidRPr="003D475F">
        <w:rPr>
          <w:rFonts w:eastAsia="Arial"/>
          <w:color w:val="000000" w:themeColor="text1"/>
        </w:rPr>
        <w:t>) ve insan kaynakları (%1</w:t>
      </w:r>
      <w:r w:rsidR="00DA578F">
        <w:rPr>
          <w:rFonts w:eastAsia="Arial"/>
          <w:color w:val="000000" w:themeColor="text1"/>
        </w:rPr>
        <w:t>6</w:t>
      </w:r>
      <w:r w:rsidRPr="003D475F">
        <w:rPr>
          <w:rFonts w:eastAsia="Arial"/>
          <w:color w:val="000000" w:themeColor="text1"/>
        </w:rPr>
        <w:t>) en yüksek paya sahip iki çalışma alanı olarak öne çıkmaktadır. Satış/ticaret (%1</w:t>
      </w:r>
      <w:r w:rsidR="00DA578F">
        <w:rPr>
          <w:rFonts w:eastAsia="Arial"/>
          <w:color w:val="000000" w:themeColor="text1"/>
        </w:rPr>
        <w:t>2</w:t>
      </w:r>
      <w:r w:rsidRPr="003D475F">
        <w:rPr>
          <w:rFonts w:eastAsia="Arial"/>
          <w:color w:val="000000" w:themeColor="text1"/>
        </w:rPr>
        <w:t>) ve operasyon/yönetim (%1</w:t>
      </w:r>
      <w:r w:rsidR="00DA578F">
        <w:rPr>
          <w:rFonts w:eastAsia="Arial"/>
          <w:color w:val="000000" w:themeColor="text1"/>
        </w:rPr>
        <w:t>2</w:t>
      </w:r>
      <w:r w:rsidRPr="003D475F">
        <w:rPr>
          <w:rFonts w:eastAsia="Arial"/>
          <w:color w:val="000000" w:themeColor="text1"/>
        </w:rPr>
        <w:t>) kategorileri eşit paya sahip olup mezunların farklı sektörel alanlara başarıyla yerleşebildiğini göstermektedir.</w:t>
      </w:r>
    </w:p>
    <w:p w14:paraId="2F8B894E" w14:textId="77777777" w:rsidR="00E8377F" w:rsidRPr="003D475F" w:rsidRDefault="00E8377F" w:rsidP="00E8377F">
      <w:pPr>
        <w:spacing w:after="80"/>
        <w:rPr>
          <w:color w:val="000000" w:themeColor="text1"/>
        </w:rPr>
      </w:pPr>
      <w:r w:rsidRPr="003D475F">
        <w:rPr>
          <w:rFonts w:eastAsia="Arial"/>
          <w:b/>
          <w:bCs/>
          <w:color w:val="000000" w:themeColor="text1"/>
          <w:sz w:val="20"/>
          <w:szCs w:val="20"/>
        </w:rPr>
        <w:t>Tablo 3. Çalışma Alanlarına Göre Dağılım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E8377F" w:rsidRPr="003D475F" w14:paraId="77689CDC"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171F5420" w14:textId="77777777" w:rsidR="00E8377F" w:rsidRPr="003D475F" w:rsidRDefault="00E8377F" w:rsidP="001D03C6">
            <w:pPr>
              <w:spacing w:after="0"/>
              <w:ind w:firstLine="0"/>
              <w:jc w:val="center"/>
              <w:rPr>
                <w:color w:val="000000" w:themeColor="text1"/>
              </w:rPr>
            </w:pPr>
            <w:r w:rsidRPr="003D475F">
              <w:rPr>
                <w:rFonts w:eastAsia="Arial"/>
                <w:b/>
                <w:bCs/>
                <w:color w:val="000000" w:themeColor="text1"/>
                <w:sz w:val="20"/>
                <w:szCs w:val="20"/>
              </w:rPr>
              <w:t>Çalışma Alanı</w:t>
            </w:r>
          </w:p>
        </w:tc>
        <w:tc>
          <w:tcPr>
            <w:tcW w:w="234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27EAFA7C" w14:textId="77777777" w:rsidR="00E8377F" w:rsidRPr="003D475F" w:rsidRDefault="00E8377F" w:rsidP="001D03C6">
            <w:pPr>
              <w:spacing w:after="0"/>
              <w:ind w:firstLine="0"/>
              <w:jc w:val="center"/>
              <w:rPr>
                <w:color w:val="000000" w:themeColor="text1"/>
              </w:rPr>
            </w:pPr>
            <w:r w:rsidRPr="003D475F">
              <w:rPr>
                <w:rFonts w:eastAsia="Arial"/>
                <w:b/>
                <w:bCs/>
                <w:color w:val="000000" w:themeColor="text1"/>
                <w:sz w:val="20"/>
                <w:szCs w:val="20"/>
              </w:rPr>
              <w:t>n</w:t>
            </w:r>
          </w:p>
        </w:tc>
        <w:tc>
          <w:tcPr>
            <w:tcW w:w="234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7C983CFC" w14:textId="77777777" w:rsidR="00E8377F" w:rsidRPr="003D475F" w:rsidRDefault="00E8377F" w:rsidP="001D03C6">
            <w:pPr>
              <w:spacing w:after="0"/>
              <w:ind w:firstLine="0"/>
              <w:jc w:val="center"/>
              <w:rPr>
                <w:color w:val="000000" w:themeColor="text1"/>
              </w:rPr>
            </w:pPr>
            <w:r w:rsidRPr="003D475F">
              <w:rPr>
                <w:rFonts w:eastAsia="Arial"/>
                <w:b/>
                <w:bCs/>
                <w:color w:val="000000" w:themeColor="text1"/>
                <w:sz w:val="20"/>
                <w:szCs w:val="20"/>
              </w:rPr>
              <w:t>% (Çalışanlar)</w:t>
            </w:r>
          </w:p>
        </w:tc>
      </w:tr>
      <w:tr w:rsidR="00DA578F" w:rsidRPr="003D475F" w14:paraId="7CC18DE9"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5693CB" w14:textId="77777777" w:rsidR="00DA578F" w:rsidRPr="003D475F" w:rsidRDefault="00DA578F" w:rsidP="00DA578F">
            <w:pPr>
              <w:spacing w:after="0"/>
              <w:ind w:firstLine="0"/>
              <w:jc w:val="center"/>
              <w:rPr>
                <w:color w:val="000000" w:themeColor="text1"/>
              </w:rPr>
            </w:pPr>
            <w:r w:rsidRPr="003D475F">
              <w:rPr>
                <w:rFonts w:eastAsia="Arial"/>
                <w:color w:val="000000" w:themeColor="text1"/>
                <w:sz w:val="20"/>
                <w:szCs w:val="20"/>
              </w:rPr>
              <w:t>Muhasebe / Mali İşler</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B708D91" w14:textId="5077482F"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5</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F3BDB5" w14:textId="5CCBEAC3"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%20,0</w:t>
            </w:r>
          </w:p>
        </w:tc>
      </w:tr>
      <w:tr w:rsidR="00DA578F" w:rsidRPr="003D475F" w14:paraId="1C6D02F4"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86E1696" w14:textId="77777777" w:rsidR="00DA578F" w:rsidRPr="003D475F" w:rsidRDefault="00DA578F" w:rsidP="00DA578F">
            <w:pPr>
              <w:spacing w:after="0"/>
              <w:ind w:firstLine="0"/>
              <w:jc w:val="center"/>
              <w:rPr>
                <w:color w:val="000000" w:themeColor="text1"/>
              </w:rPr>
            </w:pPr>
            <w:r w:rsidRPr="003D475F">
              <w:rPr>
                <w:rFonts w:eastAsia="Arial"/>
                <w:color w:val="000000" w:themeColor="text1"/>
                <w:sz w:val="20"/>
                <w:szCs w:val="20"/>
              </w:rPr>
              <w:t>İnsan Kaynakları</w:t>
            </w:r>
          </w:p>
        </w:tc>
        <w:tc>
          <w:tcPr>
            <w:tcW w:w="234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2654466" w14:textId="2536A9AD"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4</w:t>
            </w:r>
          </w:p>
        </w:tc>
        <w:tc>
          <w:tcPr>
            <w:tcW w:w="234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1FDB09C" w14:textId="60823C71"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%16,0</w:t>
            </w:r>
          </w:p>
        </w:tc>
      </w:tr>
      <w:tr w:rsidR="00DA578F" w:rsidRPr="003D475F" w14:paraId="6FB285D1"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D16F98C" w14:textId="77777777" w:rsidR="00DA578F" w:rsidRPr="003D475F" w:rsidRDefault="00DA578F" w:rsidP="00DA578F">
            <w:pPr>
              <w:spacing w:after="0"/>
              <w:ind w:firstLine="0"/>
              <w:jc w:val="center"/>
              <w:rPr>
                <w:color w:val="000000" w:themeColor="text1"/>
              </w:rPr>
            </w:pPr>
            <w:r w:rsidRPr="003D475F">
              <w:rPr>
                <w:rFonts w:eastAsia="Arial"/>
                <w:color w:val="000000" w:themeColor="text1"/>
                <w:sz w:val="20"/>
                <w:szCs w:val="20"/>
              </w:rPr>
              <w:t>Satış / Ticaret</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5703E76" w14:textId="31FE5865"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3</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E18FD1A" w14:textId="48091D7D"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%12,0</w:t>
            </w:r>
          </w:p>
        </w:tc>
      </w:tr>
      <w:tr w:rsidR="00DA578F" w:rsidRPr="003D475F" w14:paraId="4F82138F"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EC485AF" w14:textId="77777777" w:rsidR="00DA578F" w:rsidRPr="003D475F" w:rsidRDefault="00DA578F" w:rsidP="00DA578F">
            <w:pPr>
              <w:spacing w:after="0"/>
              <w:ind w:firstLine="0"/>
              <w:jc w:val="center"/>
              <w:rPr>
                <w:color w:val="000000" w:themeColor="text1"/>
              </w:rPr>
            </w:pPr>
            <w:r w:rsidRPr="003D475F">
              <w:rPr>
                <w:rFonts w:eastAsia="Arial"/>
                <w:color w:val="000000" w:themeColor="text1"/>
                <w:sz w:val="20"/>
                <w:szCs w:val="20"/>
              </w:rPr>
              <w:t>Operasyon / Yönetim</w:t>
            </w:r>
          </w:p>
        </w:tc>
        <w:tc>
          <w:tcPr>
            <w:tcW w:w="234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44494D7C" w14:textId="4F071087"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3</w:t>
            </w:r>
          </w:p>
        </w:tc>
        <w:tc>
          <w:tcPr>
            <w:tcW w:w="234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4B2E6FC1" w14:textId="1266E533"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%12,0</w:t>
            </w:r>
          </w:p>
        </w:tc>
      </w:tr>
      <w:tr w:rsidR="00DA578F" w:rsidRPr="003D475F" w14:paraId="7CD84754"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C3523A0" w14:textId="77777777" w:rsidR="00DA578F" w:rsidRPr="003D475F" w:rsidRDefault="00DA578F" w:rsidP="00DA578F">
            <w:pPr>
              <w:spacing w:after="0"/>
              <w:ind w:firstLine="0"/>
              <w:jc w:val="center"/>
              <w:rPr>
                <w:color w:val="000000" w:themeColor="text1"/>
              </w:rPr>
            </w:pPr>
            <w:r w:rsidRPr="003D475F">
              <w:rPr>
                <w:rFonts w:eastAsia="Arial"/>
                <w:color w:val="000000" w:themeColor="text1"/>
                <w:sz w:val="20"/>
                <w:szCs w:val="20"/>
              </w:rPr>
              <w:t>Bankacılık / Finans</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DA48053" w14:textId="2F5BA29B"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2</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ADBC9C5" w14:textId="036793DD"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%8,0</w:t>
            </w:r>
          </w:p>
        </w:tc>
      </w:tr>
      <w:tr w:rsidR="00DA578F" w:rsidRPr="003D475F" w14:paraId="0CADD8AB"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86D0053" w14:textId="634B8185" w:rsidR="00DA578F" w:rsidRPr="003D475F" w:rsidRDefault="00DA578F" w:rsidP="00DA578F">
            <w:pPr>
              <w:spacing w:after="0"/>
              <w:ind w:firstLine="0"/>
              <w:jc w:val="center"/>
              <w:rPr>
                <w:rFonts w:eastAsia="Arial"/>
                <w:color w:val="000000" w:themeColor="text1"/>
                <w:sz w:val="20"/>
                <w:szCs w:val="20"/>
              </w:rPr>
            </w:pPr>
            <w:r>
              <w:rPr>
                <w:rFonts w:ascii="Arial" w:eastAsia="Arial" w:hAnsi="Arial" w:cs="Arial"/>
                <w:color w:val="000000"/>
                <w:sz w:val="20"/>
                <w:szCs w:val="20"/>
              </w:rPr>
              <w:t>Sendikacılık / İş İlişkileri</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B24FEA" w14:textId="62B4B38A" w:rsidR="00DA578F" w:rsidRDefault="00DA578F" w:rsidP="00DA578F">
            <w:pPr>
              <w:spacing w:after="0"/>
              <w:ind w:firstLine="0"/>
              <w:jc w:val="center"/>
              <w:rPr>
                <w:rFonts w:ascii="Arial" w:eastAsia="Arial" w:hAnsi="Arial" w:cs="Arial"/>
                <w:color w:val="000000"/>
                <w:sz w:val="20"/>
                <w:szCs w:val="20"/>
              </w:rPr>
            </w:pPr>
            <w:r>
              <w:rPr>
                <w:rFonts w:ascii="Arial" w:eastAsia="Arial" w:hAnsi="Arial" w:cs="Arial"/>
                <w:color w:val="000000"/>
                <w:sz w:val="20"/>
                <w:szCs w:val="20"/>
              </w:rPr>
              <w:t>1</w:t>
            </w:r>
          </w:p>
        </w:tc>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BB07CBB" w14:textId="4958A85F" w:rsidR="00DA578F" w:rsidRDefault="00DA578F" w:rsidP="00DA578F">
            <w:pPr>
              <w:spacing w:after="0"/>
              <w:ind w:firstLine="0"/>
              <w:jc w:val="center"/>
              <w:rPr>
                <w:rFonts w:ascii="Arial" w:eastAsia="Arial" w:hAnsi="Arial" w:cs="Arial"/>
                <w:color w:val="000000"/>
                <w:sz w:val="20"/>
                <w:szCs w:val="20"/>
              </w:rPr>
            </w:pPr>
            <w:r>
              <w:rPr>
                <w:rFonts w:ascii="Arial" w:eastAsia="Arial" w:hAnsi="Arial" w:cs="Arial"/>
                <w:color w:val="000000"/>
                <w:sz w:val="20"/>
                <w:szCs w:val="20"/>
              </w:rPr>
              <w:t>%4,0</w:t>
            </w:r>
          </w:p>
        </w:tc>
      </w:tr>
      <w:tr w:rsidR="00DA578F" w:rsidRPr="003D475F" w14:paraId="129DB470"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10356DA3" w14:textId="77777777" w:rsidR="00DA578F" w:rsidRPr="003D475F" w:rsidRDefault="00DA578F" w:rsidP="00DA578F">
            <w:pPr>
              <w:spacing w:after="0"/>
              <w:ind w:firstLine="0"/>
              <w:jc w:val="center"/>
              <w:rPr>
                <w:color w:val="000000" w:themeColor="text1"/>
              </w:rPr>
            </w:pPr>
            <w:r w:rsidRPr="003D475F">
              <w:rPr>
                <w:rFonts w:eastAsia="Arial"/>
                <w:color w:val="000000" w:themeColor="text1"/>
                <w:sz w:val="20"/>
                <w:szCs w:val="20"/>
              </w:rPr>
              <w:t>Diğer</w:t>
            </w:r>
          </w:p>
        </w:tc>
        <w:tc>
          <w:tcPr>
            <w:tcW w:w="234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6CBBACF3" w14:textId="20A7FF62"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7</w:t>
            </w:r>
          </w:p>
        </w:tc>
        <w:tc>
          <w:tcPr>
            <w:tcW w:w="234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76E6E2F4" w14:textId="7329648D" w:rsidR="00DA578F" w:rsidRPr="003D475F" w:rsidRDefault="00DA578F" w:rsidP="00DA578F">
            <w:pPr>
              <w:spacing w:after="0"/>
              <w:ind w:firstLine="0"/>
              <w:jc w:val="center"/>
              <w:rPr>
                <w:color w:val="000000" w:themeColor="text1"/>
              </w:rPr>
            </w:pPr>
            <w:r>
              <w:rPr>
                <w:rFonts w:ascii="Arial" w:eastAsia="Arial" w:hAnsi="Arial" w:cs="Arial"/>
                <w:color w:val="000000"/>
                <w:sz w:val="20"/>
                <w:szCs w:val="20"/>
              </w:rPr>
              <w:t>%28,0</w:t>
            </w:r>
          </w:p>
        </w:tc>
      </w:tr>
      <w:tr w:rsidR="00DA578F" w:rsidRPr="003D475F" w14:paraId="1D81B07A" w14:textId="77777777" w:rsidTr="008E30CA">
        <w:tc>
          <w:tcPr>
            <w:tcW w:w="468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471FE1A9" w14:textId="77777777" w:rsidR="00DA578F" w:rsidRPr="003D475F" w:rsidRDefault="00DA578F" w:rsidP="00DA578F">
            <w:pPr>
              <w:spacing w:after="0"/>
              <w:ind w:firstLine="0"/>
              <w:jc w:val="center"/>
              <w:rPr>
                <w:color w:val="000000" w:themeColor="text1"/>
              </w:rPr>
            </w:pPr>
            <w:r w:rsidRPr="003D475F">
              <w:rPr>
                <w:rFonts w:eastAsia="Arial"/>
                <w:b/>
                <w:bCs/>
                <w:color w:val="000000" w:themeColor="text1"/>
                <w:sz w:val="20"/>
                <w:szCs w:val="20"/>
              </w:rPr>
              <w:t>Toplam</w:t>
            </w:r>
          </w:p>
        </w:tc>
        <w:tc>
          <w:tcPr>
            <w:tcW w:w="234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2D20FA58" w14:textId="5DEFDC50" w:rsidR="00DA578F" w:rsidRPr="003D475F" w:rsidRDefault="00DA578F" w:rsidP="00DA578F">
            <w:pPr>
              <w:spacing w:after="0"/>
              <w:ind w:firstLine="0"/>
              <w:jc w:val="center"/>
              <w:rPr>
                <w:color w:val="000000" w:themeColor="text1"/>
              </w:rPr>
            </w:pPr>
            <w:r w:rsidRPr="003D475F">
              <w:rPr>
                <w:rFonts w:eastAsia="Arial"/>
                <w:b/>
                <w:bCs/>
                <w:color w:val="000000" w:themeColor="text1"/>
                <w:sz w:val="20"/>
                <w:szCs w:val="20"/>
              </w:rPr>
              <w:t>2</w:t>
            </w:r>
            <w:r>
              <w:rPr>
                <w:rFonts w:eastAsia="Arial"/>
                <w:b/>
                <w:bCs/>
                <w:color w:val="000000" w:themeColor="text1"/>
                <w:sz w:val="20"/>
                <w:szCs w:val="20"/>
              </w:rPr>
              <w:t>5</w:t>
            </w:r>
          </w:p>
        </w:tc>
        <w:tc>
          <w:tcPr>
            <w:tcW w:w="234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6530D5A9" w14:textId="77777777" w:rsidR="00DA578F" w:rsidRPr="003D475F" w:rsidRDefault="00DA578F" w:rsidP="00DA578F">
            <w:pPr>
              <w:spacing w:after="0"/>
              <w:ind w:firstLine="0"/>
              <w:jc w:val="center"/>
              <w:rPr>
                <w:color w:val="000000" w:themeColor="text1"/>
              </w:rPr>
            </w:pPr>
            <w:r w:rsidRPr="003D475F">
              <w:rPr>
                <w:rFonts w:eastAsia="Arial"/>
                <w:b/>
                <w:bCs/>
                <w:color w:val="000000" w:themeColor="text1"/>
                <w:sz w:val="20"/>
                <w:szCs w:val="20"/>
              </w:rPr>
              <w:t>%100,0</w:t>
            </w:r>
          </w:p>
        </w:tc>
      </w:tr>
    </w:tbl>
    <w:p w14:paraId="135C0A5F" w14:textId="77777777" w:rsidR="00E8377F" w:rsidRPr="003D475F" w:rsidRDefault="00E8377F" w:rsidP="00E8377F">
      <w:pPr>
        <w:rPr>
          <w:color w:val="000000" w:themeColor="text1"/>
        </w:rPr>
      </w:pPr>
    </w:p>
    <w:p w14:paraId="4D068E04" w14:textId="2C894A3D" w:rsidR="00E8377F" w:rsidRPr="003D475F" w:rsidRDefault="00DA578F" w:rsidP="00E8377F">
      <w:pPr>
        <w:spacing w:after="80"/>
        <w:jc w:val="center"/>
        <w:rPr>
          <w:color w:val="000000" w:themeColor="text1"/>
        </w:rPr>
      </w:pPr>
      <w:r>
        <w:rPr>
          <w:noProof/>
        </w:rPr>
        <w:drawing>
          <wp:inline distT="0" distB="0" distL="0" distR="0" wp14:anchorId="29F1DC7B" wp14:editId="3EA417C0">
            <wp:extent cx="3619500" cy="2524125"/>
            <wp:effectExtent l="0" t="0" r="0" b="0"/>
            <wp:docPr id="736189658" name="Resim 73618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3619500" cy="2524125"/>
                    </a:xfrm>
                    <a:prstGeom prst="rect">
                      <a:avLst/>
                    </a:prstGeom>
                  </pic:spPr>
                </pic:pic>
              </a:graphicData>
            </a:graphic>
          </wp:inline>
        </w:drawing>
      </w:r>
    </w:p>
    <w:p w14:paraId="0F830F71" w14:textId="0236E82A" w:rsidR="00E8377F" w:rsidRPr="003D475F" w:rsidRDefault="00E8377F" w:rsidP="00E8377F">
      <w:pPr>
        <w:spacing w:before="80" w:after="240"/>
        <w:jc w:val="center"/>
        <w:rPr>
          <w:color w:val="000000" w:themeColor="text1"/>
        </w:rPr>
      </w:pPr>
      <w:r w:rsidRPr="003D475F">
        <w:rPr>
          <w:rFonts w:eastAsia="Arial"/>
          <w:color w:val="000000" w:themeColor="text1"/>
          <w:sz w:val="18"/>
          <w:szCs w:val="18"/>
        </w:rPr>
        <w:lastRenderedPageBreak/>
        <w:t>Şekil 5. Çalışma Alanı Dağılımı (Çalışan Mezunlar, n=2</w:t>
      </w:r>
      <w:r w:rsidR="00DA578F">
        <w:rPr>
          <w:rFonts w:eastAsia="Arial"/>
          <w:color w:val="000000" w:themeColor="text1"/>
          <w:sz w:val="18"/>
          <w:szCs w:val="18"/>
        </w:rPr>
        <w:t>5</w:t>
      </w:r>
      <w:r w:rsidRPr="003D475F">
        <w:rPr>
          <w:rFonts w:eastAsia="Arial"/>
          <w:color w:val="000000" w:themeColor="text1"/>
          <w:sz w:val="18"/>
          <w:szCs w:val="18"/>
        </w:rPr>
        <w:t>)</w:t>
      </w:r>
    </w:p>
    <w:p w14:paraId="31F40950" w14:textId="1103387F" w:rsidR="00E8377F" w:rsidRPr="003D475F" w:rsidRDefault="00E8377F" w:rsidP="00E8377F">
      <w:pPr>
        <w:pStyle w:val="Balk1"/>
      </w:pPr>
      <w:r w:rsidRPr="003D475F">
        <w:rPr>
          <w:rFonts w:eastAsia="Arial"/>
        </w:rPr>
        <w:t>Coğrafi Dağılım</w:t>
      </w:r>
    </w:p>
    <w:p w14:paraId="7A1622CB" w14:textId="62F00981" w:rsidR="00E8377F" w:rsidRPr="003D475F" w:rsidRDefault="00DA578F" w:rsidP="00E8377F">
      <w:pPr>
        <w:spacing w:after="160"/>
        <w:rPr>
          <w:color w:val="000000" w:themeColor="text1"/>
        </w:rPr>
      </w:pPr>
      <w:r w:rsidRPr="00DA578F">
        <w:rPr>
          <w:rFonts w:eastAsia="Arial"/>
          <w:color w:val="000000" w:themeColor="text1"/>
        </w:rPr>
        <w:t>Mezunların yaşadıkları şehirlere göre dağılımı incelendiğinde, İstanbul'un belirgin bir yoğunlaşma merkezine dönüştüğü görülmektedir (%32,4). Bu rapor döneminde Ankara'nın ikinci sıraya yükseldiği (%16,2) ve ülkenin idari-siyasi merkezinin mezunlar açısından önemli bir istihdam havzası işlevi gördüğü anlaşılmaktadır. Kocaeli (%13,5) üçüncü sırada yer almakta; mezunların yaklaşık %27,0'ı ise diğer illerde ikamet etmektedir (Tablo 4 ve Şekil 6).</w:t>
      </w:r>
    </w:p>
    <w:p w14:paraId="3E41B2B1" w14:textId="77777777" w:rsidR="00E8377F" w:rsidRPr="003D475F" w:rsidRDefault="00E8377F" w:rsidP="00E8377F">
      <w:pPr>
        <w:rPr>
          <w:color w:val="000000" w:themeColor="text1"/>
        </w:rPr>
      </w:pPr>
    </w:p>
    <w:p w14:paraId="79710E2F" w14:textId="77777777" w:rsidR="00E8377F" w:rsidRPr="003D475F" w:rsidRDefault="00E8377F" w:rsidP="00E8377F">
      <w:pPr>
        <w:spacing w:after="80"/>
        <w:rPr>
          <w:color w:val="000000" w:themeColor="text1"/>
        </w:rPr>
      </w:pPr>
      <w:r w:rsidRPr="003D475F">
        <w:rPr>
          <w:rFonts w:eastAsia="Arial"/>
          <w:b/>
          <w:bCs/>
          <w:color w:val="000000" w:themeColor="text1"/>
          <w:sz w:val="20"/>
          <w:szCs w:val="20"/>
        </w:rPr>
        <w:t>Tablo 4. Coğrafi Dağılım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E8377F" w:rsidRPr="003D475F" w14:paraId="5D1F8B84"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013A11C5"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Şehir</w:t>
            </w:r>
          </w:p>
        </w:tc>
        <w:tc>
          <w:tcPr>
            <w:tcW w:w="31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2BC86D3D"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n</w:t>
            </w:r>
          </w:p>
        </w:tc>
        <w:tc>
          <w:tcPr>
            <w:tcW w:w="31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vAlign w:val="center"/>
          </w:tcPr>
          <w:p w14:paraId="43137941"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w:t>
            </w:r>
          </w:p>
        </w:tc>
      </w:tr>
      <w:tr w:rsidR="00716B57" w:rsidRPr="003D475F" w14:paraId="6FE44963"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E382178" w14:textId="025A7767" w:rsidR="00716B57" w:rsidRPr="003D475F" w:rsidRDefault="00716B57" w:rsidP="00716B57">
            <w:pPr>
              <w:spacing w:after="0"/>
              <w:jc w:val="center"/>
              <w:rPr>
                <w:color w:val="000000" w:themeColor="text1"/>
              </w:rPr>
            </w:pPr>
            <w:r>
              <w:rPr>
                <w:rFonts w:ascii="Arial" w:eastAsia="Arial" w:hAnsi="Arial" w:cs="Arial"/>
                <w:color w:val="000000"/>
                <w:sz w:val="20"/>
                <w:szCs w:val="20"/>
              </w:rPr>
              <w:t>İstanbul</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A68BC40" w14:textId="0BFCFB63" w:rsidR="00716B57" w:rsidRPr="003D475F" w:rsidRDefault="00716B57" w:rsidP="00716B57">
            <w:pPr>
              <w:spacing w:after="0"/>
              <w:jc w:val="center"/>
              <w:rPr>
                <w:color w:val="000000" w:themeColor="text1"/>
              </w:rPr>
            </w:pPr>
            <w:r>
              <w:rPr>
                <w:rFonts w:ascii="Arial" w:eastAsia="Arial" w:hAnsi="Arial" w:cs="Arial"/>
                <w:color w:val="000000"/>
                <w:sz w:val="20"/>
                <w:szCs w:val="20"/>
              </w:rPr>
              <w:t>12</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F0AE447" w14:textId="0124D90B" w:rsidR="00716B57" w:rsidRPr="003D475F" w:rsidRDefault="00716B57" w:rsidP="00716B57">
            <w:pPr>
              <w:spacing w:after="0"/>
              <w:jc w:val="center"/>
              <w:rPr>
                <w:color w:val="000000" w:themeColor="text1"/>
              </w:rPr>
            </w:pPr>
            <w:r>
              <w:rPr>
                <w:rFonts w:ascii="Arial" w:eastAsia="Arial" w:hAnsi="Arial" w:cs="Arial"/>
                <w:color w:val="000000"/>
                <w:sz w:val="20"/>
                <w:szCs w:val="20"/>
              </w:rPr>
              <w:t>%32,4</w:t>
            </w:r>
          </w:p>
        </w:tc>
      </w:tr>
      <w:tr w:rsidR="00716B57" w:rsidRPr="003D475F" w14:paraId="32B6975E"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3E053C0" w14:textId="0FC8F67C" w:rsidR="00716B57" w:rsidRPr="003D475F" w:rsidRDefault="00716B57" w:rsidP="00716B57">
            <w:pPr>
              <w:spacing w:after="0"/>
              <w:jc w:val="center"/>
              <w:rPr>
                <w:color w:val="000000" w:themeColor="text1"/>
              </w:rPr>
            </w:pPr>
            <w:r>
              <w:rPr>
                <w:rFonts w:ascii="Arial" w:eastAsia="Arial" w:hAnsi="Arial" w:cs="Arial"/>
                <w:color w:val="000000"/>
                <w:sz w:val="20"/>
                <w:szCs w:val="20"/>
              </w:rPr>
              <w:t>Ankara</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6FF9BF18" w14:textId="68F0D931" w:rsidR="00716B57" w:rsidRPr="003D475F" w:rsidRDefault="00716B57" w:rsidP="00716B57">
            <w:pPr>
              <w:spacing w:after="0"/>
              <w:jc w:val="center"/>
              <w:rPr>
                <w:color w:val="000000" w:themeColor="text1"/>
              </w:rPr>
            </w:pPr>
            <w:r>
              <w:rPr>
                <w:rFonts w:ascii="Arial" w:eastAsia="Arial" w:hAnsi="Arial" w:cs="Arial"/>
                <w:color w:val="000000"/>
                <w:sz w:val="20"/>
                <w:szCs w:val="20"/>
              </w:rPr>
              <w:t>6</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5B24ED75" w14:textId="0F88F6CD" w:rsidR="00716B57" w:rsidRPr="003D475F" w:rsidRDefault="00716B57" w:rsidP="00716B57">
            <w:pPr>
              <w:spacing w:after="0"/>
              <w:jc w:val="center"/>
              <w:rPr>
                <w:color w:val="000000" w:themeColor="text1"/>
              </w:rPr>
            </w:pPr>
            <w:r>
              <w:rPr>
                <w:rFonts w:ascii="Arial" w:eastAsia="Arial" w:hAnsi="Arial" w:cs="Arial"/>
                <w:color w:val="000000"/>
                <w:sz w:val="20"/>
                <w:szCs w:val="20"/>
              </w:rPr>
              <w:t>%16,2</w:t>
            </w:r>
          </w:p>
        </w:tc>
      </w:tr>
      <w:tr w:rsidR="00716B57" w:rsidRPr="003D475F" w14:paraId="78EA0D8B"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1D9C046" w14:textId="48112927" w:rsidR="00716B57" w:rsidRPr="003D475F" w:rsidRDefault="00716B57" w:rsidP="00716B57">
            <w:pPr>
              <w:spacing w:after="0"/>
              <w:jc w:val="center"/>
              <w:rPr>
                <w:color w:val="000000" w:themeColor="text1"/>
              </w:rPr>
            </w:pPr>
            <w:r>
              <w:rPr>
                <w:rFonts w:ascii="Arial" w:eastAsia="Arial" w:hAnsi="Arial" w:cs="Arial"/>
                <w:color w:val="000000"/>
                <w:sz w:val="20"/>
                <w:szCs w:val="20"/>
              </w:rPr>
              <w:t>Kocaeli</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9B21014" w14:textId="1049AAA9" w:rsidR="00716B57" w:rsidRPr="003D475F" w:rsidRDefault="00716B57" w:rsidP="00716B57">
            <w:pPr>
              <w:spacing w:after="0"/>
              <w:jc w:val="center"/>
              <w:rPr>
                <w:color w:val="000000" w:themeColor="text1"/>
              </w:rPr>
            </w:pPr>
            <w:r>
              <w:rPr>
                <w:rFonts w:ascii="Arial" w:eastAsia="Arial" w:hAnsi="Arial" w:cs="Arial"/>
                <w:color w:val="000000"/>
                <w:sz w:val="20"/>
                <w:szCs w:val="20"/>
              </w:rPr>
              <w:t>5</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F1F9026" w14:textId="1DBF75C2" w:rsidR="00716B57" w:rsidRPr="003D475F" w:rsidRDefault="00716B57" w:rsidP="00716B57">
            <w:pPr>
              <w:spacing w:after="0"/>
              <w:jc w:val="center"/>
              <w:rPr>
                <w:color w:val="000000" w:themeColor="text1"/>
              </w:rPr>
            </w:pPr>
            <w:r>
              <w:rPr>
                <w:rFonts w:ascii="Arial" w:eastAsia="Arial" w:hAnsi="Arial" w:cs="Arial"/>
                <w:color w:val="000000"/>
                <w:sz w:val="20"/>
                <w:szCs w:val="20"/>
              </w:rPr>
              <w:t>%13,5</w:t>
            </w:r>
          </w:p>
        </w:tc>
      </w:tr>
      <w:tr w:rsidR="00716B57" w:rsidRPr="003D475F" w14:paraId="5DC3093F"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4616848F" w14:textId="2D4CC4EF" w:rsidR="00716B57" w:rsidRPr="003D475F" w:rsidRDefault="00716B57" w:rsidP="00716B57">
            <w:pPr>
              <w:spacing w:after="0"/>
              <w:jc w:val="center"/>
              <w:rPr>
                <w:color w:val="000000" w:themeColor="text1"/>
              </w:rPr>
            </w:pPr>
            <w:r>
              <w:rPr>
                <w:rFonts w:ascii="Arial" w:eastAsia="Arial" w:hAnsi="Arial" w:cs="Arial"/>
                <w:color w:val="000000"/>
                <w:sz w:val="20"/>
                <w:szCs w:val="20"/>
              </w:rPr>
              <w:t>Trabzon</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68E82D8D" w14:textId="2C5DD036" w:rsidR="00716B57" w:rsidRPr="003D475F" w:rsidRDefault="00716B57" w:rsidP="00716B57">
            <w:pPr>
              <w:spacing w:after="0"/>
              <w:jc w:val="center"/>
              <w:rPr>
                <w:color w:val="000000" w:themeColor="text1"/>
              </w:rPr>
            </w:pPr>
            <w:r>
              <w:rPr>
                <w:rFonts w:ascii="Arial" w:eastAsia="Arial" w:hAnsi="Arial" w:cs="Arial"/>
                <w:color w:val="000000"/>
                <w:sz w:val="20"/>
                <w:szCs w:val="20"/>
              </w:rPr>
              <w:t>2</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E285EA1" w14:textId="5328D4A9" w:rsidR="00716B57" w:rsidRPr="003D475F" w:rsidRDefault="00716B57" w:rsidP="00716B57">
            <w:pPr>
              <w:spacing w:after="0"/>
              <w:jc w:val="center"/>
              <w:rPr>
                <w:color w:val="000000" w:themeColor="text1"/>
              </w:rPr>
            </w:pPr>
            <w:r>
              <w:rPr>
                <w:rFonts w:ascii="Arial" w:eastAsia="Arial" w:hAnsi="Arial" w:cs="Arial"/>
                <w:color w:val="000000"/>
                <w:sz w:val="20"/>
                <w:szCs w:val="20"/>
              </w:rPr>
              <w:t>%5,4</w:t>
            </w:r>
          </w:p>
        </w:tc>
      </w:tr>
      <w:tr w:rsidR="00716B57" w:rsidRPr="003D475F" w14:paraId="49A061A0"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E46B006" w14:textId="40F7BCA8" w:rsidR="00716B57" w:rsidRPr="003D475F" w:rsidRDefault="00716B57" w:rsidP="00716B57">
            <w:pPr>
              <w:spacing w:after="0"/>
              <w:jc w:val="center"/>
              <w:rPr>
                <w:color w:val="000000" w:themeColor="text1"/>
              </w:rPr>
            </w:pPr>
            <w:r>
              <w:rPr>
                <w:rFonts w:ascii="Arial" w:eastAsia="Arial" w:hAnsi="Arial" w:cs="Arial"/>
                <w:color w:val="000000"/>
                <w:sz w:val="20"/>
                <w:szCs w:val="20"/>
              </w:rPr>
              <w:t>Ordu</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DB8C81" w14:textId="46AD23A7" w:rsidR="00716B57" w:rsidRPr="003D475F" w:rsidRDefault="00716B57" w:rsidP="00716B57">
            <w:pPr>
              <w:spacing w:after="0"/>
              <w:jc w:val="center"/>
              <w:rPr>
                <w:color w:val="000000" w:themeColor="text1"/>
              </w:rPr>
            </w:pPr>
            <w:r>
              <w:rPr>
                <w:rFonts w:ascii="Arial" w:eastAsia="Arial" w:hAnsi="Arial" w:cs="Arial"/>
                <w:color w:val="000000"/>
                <w:sz w:val="20"/>
                <w:szCs w:val="20"/>
              </w:rPr>
              <w:t>2</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9A9FECA" w14:textId="053AA448" w:rsidR="00716B57" w:rsidRPr="003D475F" w:rsidRDefault="00716B57" w:rsidP="00716B57">
            <w:pPr>
              <w:spacing w:after="0"/>
              <w:jc w:val="center"/>
              <w:rPr>
                <w:color w:val="000000" w:themeColor="text1"/>
              </w:rPr>
            </w:pPr>
            <w:r>
              <w:rPr>
                <w:rFonts w:ascii="Arial" w:eastAsia="Arial" w:hAnsi="Arial" w:cs="Arial"/>
                <w:color w:val="000000"/>
                <w:sz w:val="20"/>
                <w:szCs w:val="20"/>
              </w:rPr>
              <w:t>%5,4</w:t>
            </w:r>
          </w:p>
        </w:tc>
      </w:tr>
      <w:tr w:rsidR="00716B57" w:rsidRPr="003D475F" w14:paraId="22787F86"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28CE1397" w14:textId="3143468F" w:rsidR="00716B57" w:rsidRPr="003D475F" w:rsidRDefault="00716B57" w:rsidP="00716B57">
            <w:pPr>
              <w:spacing w:after="0"/>
              <w:jc w:val="center"/>
              <w:rPr>
                <w:color w:val="000000" w:themeColor="text1"/>
              </w:rPr>
            </w:pPr>
            <w:r>
              <w:rPr>
                <w:rFonts w:ascii="Arial" w:eastAsia="Arial" w:hAnsi="Arial" w:cs="Arial"/>
                <w:color w:val="000000"/>
                <w:sz w:val="20"/>
                <w:szCs w:val="20"/>
              </w:rPr>
              <w:t>Diğer İller</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04D240E1" w14:textId="1EC8A225" w:rsidR="00716B57" w:rsidRPr="003D475F" w:rsidRDefault="00716B57" w:rsidP="00716B57">
            <w:pPr>
              <w:spacing w:after="0"/>
              <w:jc w:val="center"/>
              <w:rPr>
                <w:color w:val="000000" w:themeColor="text1"/>
              </w:rPr>
            </w:pPr>
            <w:r>
              <w:rPr>
                <w:rFonts w:ascii="Arial" w:eastAsia="Arial" w:hAnsi="Arial" w:cs="Arial"/>
                <w:color w:val="000000"/>
                <w:sz w:val="20"/>
                <w:szCs w:val="20"/>
              </w:rPr>
              <w:t>10</w:t>
            </w:r>
          </w:p>
        </w:tc>
        <w:tc>
          <w:tcPr>
            <w:tcW w:w="3120" w:type="dxa"/>
            <w:tcBorders>
              <w:top w:val="single" w:sz="4" w:space="0" w:color="BFBFBF"/>
              <w:left w:val="single" w:sz="4" w:space="0" w:color="BFBFBF"/>
              <w:bottom w:val="single" w:sz="4" w:space="0" w:color="BFBFBF"/>
              <w:right w:val="single" w:sz="4" w:space="0" w:color="BFBFBF"/>
            </w:tcBorders>
            <w:shd w:val="clear" w:color="auto" w:fill="EBF3FA"/>
            <w:tcMar>
              <w:top w:w="80" w:type="dxa"/>
              <w:left w:w="120" w:type="dxa"/>
              <w:bottom w:w="80" w:type="dxa"/>
              <w:right w:w="120" w:type="dxa"/>
            </w:tcMar>
            <w:vAlign w:val="center"/>
          </w:tcPr>
          <w:p w14:paraId="110FB3FC" w14:textId="514228BB" w:rsidR="00716B57" w:rsidRPr="003D475F" w:rsidRDefault="00716B57" w:rsidP="00716B57">
            <w:pPr>
              <w:spacing w:after="0"/>
              <w:jc w:val="center"/>
              <w:rPr>
                <w:color w:val="000000" w:themeColor="text1"/>
              </w:rPr>
            </w:pPr>
            <w:r>
              <w:rPr>
                <w:rFonts w:ascii="Arial" w:eastAsia="Arial" w:hAnsi="Arial" w:cs="Arial"/>
                <w:color w:val="000000"/>
                <w:sz w:val="20"/>
                <w:szCs w:val="20"/>
              </w:rPr>
              <w:t>%27,0</w:t>
            </w:r>
          </w:p>
        </w:tc>
      </w:tr>
      <w:tr w:rsidR="00E8377F" w:rsidRPr="003D475F" w14:paraId="17B86EFB" w14:textId="77777777" w:rsidTr="008E30CA">
        <w:tc>
          <w:tcPr>
            <w:tcW w:w="312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03C0FB45"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Toplam</w:t>
            </w:r>
          </w:p>
        </w:tc>
        <w:tc>
          <w:tcPr>
            <w:tcW w:w="312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1D743367" w14:textId="05663650" w:rsidR="00E8377F" w:rsidRPr="003D475F" w:rsidRDefault="00E8377F" w:rsidP="001D03C6">
            <w:pPr>
              <w:spacing w:after="0"/>
              <w:jc w:val="center"/>
              <w:rPr>
                <w:color w:val="000000" w:themeColor="text1"/>
              </w:rPr>
            </w:pPr>
            <w:r w:rsidRPr="003D475F">
              <w:rPr>
                <w:rFonts w:eastAsia="Arial"/>
                <w:b/>
                <w:bCs/>
                <w:color w:val="000000" w:themeColor="text1"/>
                <w:sz w:val="20"/>
                <w:szCs w:val="20"/>
              </w:rPr>
              <w:t>3</w:t>
            </w:r>
            <w:r w:rsidR="00716B57">
              <w:rPr>
                <w:rFonts w:eastAsia="Arial"/>
                <w:b/>
                <w:bCs/>
                <w:color w:val="000000" w:themeColor="text1"/>
                <w:sz w:val="20"/>
                <w:szCs w:val="20"/>
              </w:rPr>
              <w:t>7</w:t>
            </w:r>
          </w:p>
        </w:tc>
        <w:tc>
          <w:tcPr>
            <w:tcW w:w="3120"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0DE4A5C7" w14:textId="77777777" w:rsidR="00E8377F" w:rsidRPr="003D475F" w:rsidRDefault="00E8377F" w:rsidP="001D03C6">
            <w:pPr>
              <w:spacing w:after="0"/>
              <w:jc w:val="center"/>
              <w:rPr>
                <w:color w:val="000000" w:themeColor="text1"/>
              </w:rPr>
            </w:pPr>
            <w:r w:rsidRPr="003D475F">
              <w:rPr>
                <w:rFonts w:eastAsia="Arial"/>
                <w:b/>
                <w:bCs/>
                <w:color w:val="000000" w:themeColor="text1"/>
                <w:sz w:val="20"/>
                <w:szCs w:val="20"/>
              </w:rPr>
              <w:t>%100,0</w:t>
            </w:r>
          </w:p>
        </w:tc>
      </w:tr>
    </w:tbl>
    <w:p w14:paraId="198642B1" w14:textId="77777777" w:rsidR="00E8377F" w:rsidRPr="003D475F" w:rsidRDefault="00E8377F" w:rsidP="00E8377F">
      <w:pPr>
        <w:rPr>
          <w:color w:val="000000" w:themeColor="text1"/>
        </w:rPr>
      </w:pPr>
    </w:p>
    <w:p w14:paraId="4EB939EC" w14:textId="64787F05" w:rsidR="00E8377F" w:rsidRPr="003D475F" w:rsidRDefault="00716B57" w:rsidP="00E8377F">
      <w:pPr>
        <w:spacing w:after="80"/>
        <w:jc w:val="center"/>
        <w:rPr>
          <w:color w:val="000000" w:themeColor="text1"/>
        </w:rPr>
      </w:pPr>
      <w:r>
        <w:rPr>
          <w:noProof/>
        </w:rPr>
        <w:drawing>
          <wp:inline distT="0" distB="0" distL="0" distR="0" wp14:anchorId="7DADCF3C" wp14:editId="0FF42AA2">
            <wp:extent cx="3619500" cy="2047875"/>
            <wp:effectExtent l="0" t="0" r="0" b="0"/>
            <wp:docPr id="731371420" name="Resim 73137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3619500" cy="2047875"/>
                    </a:xfrm>
                    <a:prstGeom prst="rect">
                      <a:avLst/>
                    </a:prstGeom>
                  </pic:spPr>
                </pic:pic>
              </a:graphicData>
            </a:graphic>
          </wp:inline>
        </w:drawing>
      </w:r>
    </w:p>
    <w:p w14:paraId="32EFE05C" w14:textId="7933A226" w:rsidR="00E8377F" w:rsidRPr="003D475F" w:rsidRDefault="00E8377F" w:rsidP="00E8377F">
      <w:pPr>
        <w:spacing w:before="80" w:after="240"/>
        <w:jc w:val="center"/>
        <w:rPr>
          <w:color w:val="000000" w:themeColor="text1"/>
        </w:rPr>
      </w:pPr>
      <w:r w:rsidRPr="003D475F">
        <w:rPr>
          <w:rFonts w:eastAsia="Arial"/>
          <w:color w:val="000000" w:themeColor="text1"/>
          <w:sz w:val="18"/>
          <w:szCs w:val="18"/>
        </w:rPr>
        <w:t>Şekil 6. Coğrafi Dağılım (n=3</w:t>
      </w:r>
      <w:r w:rsidR="00716B57">
        <w:rPr>
          <w:rFonts w:eastAsia="Arial"/>
          <w:color w:val="000000" w:themeColor="text1"/>
          <w:sz w:val="18"/>
          <w:szCs w:val="18"/>
        </w:rPr>
        <w:t>7</w:t>
      </w:r>
      <w:r w:rsidRPr="003D475F">
        <w:rPr>
          <w:rFonts w:eastAsia="Arial"/>
          <w:color w:val="000000" w:themeColor="text1"/>
          <w:sz w:val="18"/>
          <w:szCs w:val="18"/>
        </w:rPr>
        <w:t>)</w:t>
      </w:r>
    </w:p>
    <w:p w14:paraId="377F0A28" w14:textId="099A6325" w:rsidR="00E8377F" w:rsidRPr="003D475F" w:rsidRDefault="00E8377F" w:rsidP="00E8377F">
      <w:pPr>
        <w:pStyle w:val="Balk1"/>
      </w:pPr>
      <w:r w:rsidRPr="003D475F">
        <w:rPr>
          <w:rFonts w:eastAsia="Arial"/>
        </w:rPr>
        <w:lastRenderedPageBreak/>
        <w:t>Nitel Bulgular: Mezun Görüş ve Önerileri</w:t>
      </w:r>
    </w:p>
    <w:p w14:paraId="1FB5671E" w14:textId="0F7B7A7B" w:rsidR="00E8377F" w:rsidRPr="003D475F" w:rsidRDefault="00E8377F" w:rsidP="00E8377F">
      <w:pPr>
        <w:spacing w:after="160"/>
        <w:rPr>
          <w:color w:val="000000" w:themeColor="text1"/>
        </w:rPr>
      </w:pPr>
      <w:r w:rsidRPr="003D475F">
        <w:rPr>
          <w:rFonts w:eastAsia="Arial"/>
          <w:color w:val="000000" w:themeColor="text1"/>
        </w:rPr>
        <w:t xml:space="preserve">Anketin açık uçlu bölümüne verilen yanıtlar tematik analiz yöntemiyle incelenmiş ve </w:t>
      </w:r>
      <w:r w:rsidR="003D475F">
        <w:rPr>
          <w:rFonts w:eastAsia="Arial"/>
          <w:color w:val="000000" w:themeColor="text1"/>
        </w:rPr>
        <w:t>üç</w:t>
      </w:r>
      <w:r w:rsidRPr="003D475F">
        <w:rPr>
          <w:rFonts w:eastAsia="Arial"/>
          <w:color w:val="000000" w:themeColor="text1"/>
        </w:rPr>
        <w:t xml:space="preserve"> ana tema altında değerlendirilmiştir.</w:t>
      </w:r>
    </w:p>
    <w:p w14:paraId="0D41A16C" w14:textId="02DA38B2" w:rsidR="00E8377F" w:rsidRPr="003D475F" w:rsidRDefault="00E8377F" w:rsidP="00E8377F">
      <w:pPr>
        <w:rPr>
          <w:b/>
          <w:bCs/>
          <w:color w:val="000000" w:themeColor="text1"/>
        </w:rPr>
      </w:pPr>
      <w:r w:rsidRPr="003D475F">
        <w:rPr>
          <w:b/>
          <w:bCs/>
          <w:color w:val="000000" w:themeColor="text1"/>
        </w:rPr>
        <w:t>Kariyer Desteği ve Mesleki Ağ Oluşturma</w:t>
      </w:r>
    </w:p>
    <w:p w14:paraId="29DA7691" w14:textId="77777777" w:rsidR="00E8377F" w:rsidRPr="003D475F" w:rsidRDefault="00E8377F" w:rsidP="00E8377F">
      <w:pPr>
        <w:spacing w:after="160"/>
        <w:rPr>
          <w:color w:val="000000" w:themeColor="text1"/>
        </w:rPr>
      </w:pPr>
      <w:r w:rsidRPr="003D475F">
        <w:rPr>
          <w:rFonts w:eastAsia="Arial"/>
          <w:color w:val="000000" w:themeColor="text1"/>
        </w:rPr>
        <w:t>Birden fazla mezun, öğretim üyelerinin LinkedIn gibi mesleki ağ platformlarında daha aktif rol üstlenmesini ve mezunlarla kurulan bağlantıların bölüm aracılığıyla güçlendirilmesini talep etmiştir. Mezun-akademisyen iş birliğinin kariyer yönlendirme, mentorluk ve istihdam fırsatlarına erişim açısından belirleyici bir işlev taşıdığı vurgulanmıştır. Bazı katılımcılar, diğer fakülte mezunlarına sağlanan kariyer desteğini örnek göstererek benzer uygulamaların kendi bölümleri için de hayata geçirilmesini talep etmişlerdir.</w:t>
      </w:r>
    </w:p>
    <w:p w14:paraId="3D035358" w14:textId="12BDDD2F" w:rsidR="00E8377F" w:rsidRPr="003D475F" w:rsidRDefault="00E8377F" w:rsidP="00E8377F">
      <w:pPr>
        <w:rPr>
          <w:b/>
          <w:bCs/>
          <w:color w:val="000000" w:themeColor="text1"/>
        </w:rPr>
      </w:pPr>
      <w:r w:rsidRPr="003D475F">
        <w:rPr>
          <w:b/>
          <w:bCs/>
          <w:color w:val="000000" w:themeColor="text1"/>
        </w:rPr>
        <w:t>Müfredat Geliştirme Önerileri</w:t>
      </w:r>
    </w:p>
    <w:p w14:paraId="43A1396D" w14:textId="0F168C84" w:rsidR="00E8377F" w:rsidRPr="003D475F" w:rsidRDefault="00E8377F" w:rsidP="00E8377F">
      <w:pPr>
        <w:spacing w:after="160"/>
        <w:rPr>
          <w:color w:val="000000" w:themeColor="text1"/>
        </w:rPr>
      </w:pPr>
      <w:r w:rsidRPr="003D475F">
        <w:rPr>
          <w:rFonts w:eastAsia="Arial"/>
          <w:color w:val="000000" w:themeColor="text1"/>
        </w:rPr>
        <w:t>Katılımcılar müfredata ilişkin çeşitli yapıcı öneriler sunmuştur. Öne çıkan başlıca görüşler şu şekilde özetlenebilir: iş yaşamında yoğun biçimde kullanılan ofis ve muhasebe yazılımlarına yönelik uygulamalı eğitimlerin müfredata dahil edilmesi; insan kaynakları yönetimi ve muhasebe uygulamalarının daha fazla ağırlık kazanması; terminoloji ve tarihsel içerik ağırlıklı ezbere dayalı yöntemler yerine analitik ve uygulama odaklı öğretim yaklaşımlarının benimsenmesi. Bu öneriler bölüm mezunlarının teorik bilgi ile mesleki uygulama arasında köprü kurulmasına verilen önemi açıkça yansıtmaktadır.</w:t>
      </w:r>
    </w:p>
    <w:p w14:paraId="1B24D800" w14:textId="2F1DF4AC" w:rsidR="00E8377F" w:rsidRPr="003D475F" w:rsidRDefault="00E8377F" w:rsidP="00E8377F">
      <w:pPr>
        <w:rPr>
          <w:b/>
          <w:bCs/>
          <w:color w:val="000000" w:themeColor="text1"/>
        </w:rPr>
      </w:pPr>
      <w:r w:rsidRPr="003D475F">
        <w:rPr>
          <w:b/>
          <w:bCs/>
          <w:color w:val="000000" w:themeColor="text1"/>
        </w:rPr>
        <w:t>Sosyo-Ekonomik Kırılganlıklar</w:t>
      </w:r>
    </w:p>
    <w:p w14:paraId="6F7F43D3" w14:textId="77777777" w:rsidR="00E8377F" w:rsidRPr="003D475F" w:rsidRDefault="00E8377F" w:rsidP="00E8377F">
      <w:pPr>
        <w:spacing w:after="160"/>
        <w:rPr>
          <w:color w:val="000000" w:themeColor="text1"/>
        </w:rPr>
      </w:pPr>
      <w:r w:rsidRPr="003D475F">
        <w:rPr>
          <w:rFonts w:eastAsia="Arial"/>
          <w:color w:val="000000" w:themeColor="text1"/>
        </w:rPr>
        <w:t>İki katılımcı, Kahramanmaraş merkezli 6 Şubat 2023 depremlerinden doğrudan etkilendiklerini ve bu nedenle iş yaşamlarında ciddi aksaklıklar yaşadıklarını belirtmiştir. Söz konusu bulgu, deprem gibi yapısal düzeydeki toplumsal olayların bölüm mezunlarının istihdam örüntüleri üzerinde anlamlı bir etkiye yol açabileceğini göstermekte; mezun destek mekanizmalarının tasarımında bu tür kırılganlıkların göz önünde bulundurulması gerektiğine dikkat çekmektedir.</w:t>
      </w:r>
    </w:p>
    <w:p w14:paraId="1B1316C2" w14:textId="7DBD5265" w:rsidR="00E8377F" w:rsidRPr="003D475F" w:rsidRDefault="00E8377F" w:rsidP="00E8377F">
      <w:pPr>
        <w:pStyle w:val="Balk1"/>
        <w:numPr>
          <w:ilvl w:val="0"/>
          <w:numId w:val="7"/>
        </w:numPr>
      </w:pPr>
      <w:r w:rsidRPr="003D475F">
        <w:t>Sonuç ve Değerlendirme</w:t>
      </w:r>
    </w:p>
    <w:p w14:paraId="465CC67B" w14:textId="0394B3D4" w:rsidR="00E8377F" w:rsidRPr="003D475F" w:rsidRDefault="00E8377F" w:rsidP="00E8377F">
      <w:pPr>
        <w:spacing w:after="160"/>
        <w:rPr>
          <w:color w:val="000000" w:themeColor="text1"/>
        </w:rPr>
      </w:pPr>
      <w:r w:rsidRPr="003D475F">
        <w:rPr>
          <w:rFonts w:eastAsia="Arial"/>
          <w:color w:val="000000" w:themeColor="text1"/>
        </w:rPr>
        <w:t>Bu raporda sunulan bulgular</w:t>
      </w:r>
      <w:r w:rsidR="003D475F" w:rsidRPr="003D475F">
        <w:t xml:space="preserve"> Karadeniz Teknik Üniversitesi İktisadi ve İdari Bilimler Fakültesi </w:t>
      </w:r>
      <w:r w:rsidRPr="003D475F">
        <w:rPr>
          <w:rFonts w:eastAsia="Arial"/>
          <w:color w:val="000000" w:themeColor="text1"/>
        </w:rPr>
        <w:t>Çalışma Ekonomisi ve Endüstri İlişkileri Bölümü mezunlarının iş piyasasına entegrasyonuna ilişkin önemli veriler ortaya koymaktadır. Katılımcıların üçte ikisinden fazlasının istihdam edilmesi ve bu mezunların muhasebe, insan kaynakları, satış/ticaret, operasyon</w:t>
      </w:r>
      <w:r w:rsidR="00716B57">
        <w:rPr>
          <w:rFonts w:eastAsia="Arial"/>
          <w:color w:val="000000" w:themeColor="text1"/>
        </w:rPr>
        <w:t>, sendikacılık</w:t>
      </w:r>
      <w:r w:rsidRPr="003D475F">
        <w:rPr>
          <w:rFonts w:eastAsia="Arial"/>
          <w:color w:val="000000" w:themeColor="text1"/>
        </w:rPr>
        <w:t xml:space="preserve"> ve bankacılık gibi geniş bir yelpazede görev yapması, bölümün mezunlarına çok alanlı bir kariyer yetkinliği kazandırdığına işaret etmektedir.</w:t>
      </w:r>
    </w:p>
    <w:p w14:paraId="122AB93C" w14:textId="3F8E6182" w:rsidR="00E8377F" w:rsidRPr="003D475F" w:rsidRDefault="00E8377F" w:rsidP="00E8377F">
      <w:pPr>
        <w:spacing w:after="160"/>
        <w:rPr>
          <w:color w:val="000000" w:themeColor="text1"/>
        </w:rPr>
      </w:pPr>
      <w:r w:rsidRPr="003D475F">
        <w:rPr>
          <w:rFonts w:eastAsia="Arial"/>
          <w:color w:val="000000" w:themeColor="text1"/>
        </w:rPr>
        <w:lastRenderedPageBreak/>
        <w:t xml:space="preserve">Açık uçlu yanıtlardan elde edilen nitel bulgular, bölüm ile mezunlar arasında daha kurumsal ve sürdürülebilir bir etkileşim modelinin tasarlanması gerektiğini göstermektedir. Özellikle kariyer mentorluk programları, mezun-akademisyen ağı ve mezun etkinlikleri gibi yapıların hayata </w:t>
      </w:r>
      <w:r w:rsidR="003D475F" w:rsidRPr="003D475F">
        <w:rPr>
          <w:rFonts w:eastAsia="Arial"/>
          <w:color w:val="000000" w:themeColor="text1"/>
        </w:rPr>
        <w:t>geçirilmesi</w:t>
      </w:r>
      <w:r w:rsidRPr="003D475F">
        <w:rPr>
          <w:rFonts w:eastAsia="Arial"/>
          <w:color w:val="000000" w:themeColor="text1"/>
        </w:rPr>
        <w:t xml:space="preserve"> hem bölümün kurumsal kapasitesini güçlendirecek hem de mezunların mesleki gelişimine somut katkılar sağlayacaktır.</w:t>
      </w:r>
      <w:r w:rsidR="003D475F">
        <w:rPr>
          <w:rFonts w:eastAsia="Arial"/>
          <w:color w:val="000000" w:themeColor="text1"/>
        </w:rPr>
        <w:t xml:space="preserve"> Buna ek olarak m</w:t>
      </w:r>
      <w:r w:rsidRPr="003D475F">
        <w:rPr>
          <w:rFonts w:eastAsia="Arial"/>
          <w:color w:val="000000" w:themeColor="text1"/>
        </w:rPr>
        <w:t xml:space="preserve">üfredat geliştirme süreçlerine ilişkin öneriler uygulamalı beceri setlerinin güçlendirilmesi ve yazılım eğitimlerine yer açılması bakımından değerlendirmeye değer bulunmaktadır. </w:t>
      </w:r>
    </w:p>
    <w:p w14:paraId="0C10DCAF" w14:textId="77777777" w:rsidR="00E8377F" w:rsidRPr="003D475F" w:rsidRDefault="00E8377F" w:rsidP="00E8377F">
      <w:pPr>
        <w:spacing w:after="160"/>
        <w:rPr>
          <w:color w:val="000000" w:themeColor="text1"/>
        </w:rPr>
      </w:pPr>
      <w:r w:rsidRPr="003D475F">
        <w:rPr>
          <w:rFonts w:eastAsia="Arial"/>
          <w:color w:val="000000" w:themeColor="text1"/>
        </w:rPr>
        <w:t>Mezun izleme çalışmalarının sürdürülebilirliğinin sağlanması ve anket katılım oranlarının yükseltilmesi, bölümün kanıta dayalı kalite güvencesi süreçlerini güçlendirme açısından öncelikli hedefler arasında değerlendirilmelidir.</w:t>
      </w:r>
    </w:p>
    <w:p w14:paraId="4F229F3B" w14:textId="2E41F4A8" w:rsidR="006F2A7F" w:rsidRPr="003D475F" w:rsidRDefault="006F2A7F" w:rsidP="00E8377F">
      <w:pPr>
        <w:ind w:firstLine="0"/>
        <w:rPr>
          <w:color w:val="000000" w:themeColor="text1"/>
        </w:rPr>
      </w:pPr>
    </w:p>
    <w:sectPr w:rsidR="006F2A7F" w:rsidRPr="003D475F" w:rsidSect="004522F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21A9" w14:textId="77777777" w:rsidR="00AD0600" w:rsidRDefault="00AD0600">
      <w:pPr>
        <w:spacing w:before="0" w:after="0" w:line="240" w:lineRule="auto"/>
      </w:pPr>
      <w:r>
        <w:separator/>
      </w:r>
    </w:p>
  </w:endnote>
  <w:endnote w:type="continuationSeparator" w:id="0">
    <w:p w14:paraId="31EF2C50" w14:textId="77777777" w:rsidR="00AD0600" w:rsidRDefault="00AD06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2D95" w14:textId="77777777" w:rsidR="005758B1" w:rsidRDefault="005758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742217"/>
      <w:docPartObj>
        <w:docPartGallery w:val="Page Numbers (Bottom of Page)"/>
        <w:docPartUnique/>
      </w:docPartObj>
    </w:sdtPr>
    <w:sdtContent>
      <w:p w14:paraId="09CFB210" w14:textId="1365F54B" w:rsidR="004522F3" w:rsidRDefault="004522F3">
        <w:pPr>
          <w:pStyle w:val="AltBilgi"/>
          <w:jc w:val="center"/>
        </w:pPr>
        <w:r>
          <w:fldChar w:fldCharType="begin"/>
        </w:r>
        <w:r>
          <w:instrText>PAGE   \* MERGEFORMAT</w:instrText>
        </w:r>
        <w:r>
          <w:fldChar w:fldCharType="separate"/>
        </w:r>
        <w:r>
          <w:t>2</w:t>
        </w:r>
        <w:r>
          <w:fldChar w:fldCharType="end"/>
        </w:r>
      </w:p>
    </w:sdtContent>
  </w:sdt>
  <w:p w14:paraId="45344996" w14:textId="77777777" w:rsidR="007D41D5" w:rsidRDefault="007D41D5" w:rsidP="00D5746A">
    <w:pPr>
      <w:pStyle w:val="AltBilgi"/>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055C" w14:textId="77777777" w:rsidR="005758B1" w:rsidRDefault="005758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7744" w14:textId="77777777" w:rsidR="00AD0600" w:rsidRDefault="00AD0600">
      <w:pPr>
        <w:spacing w:before="0" w:after="0" w:line="240" w:lineRule="auto"/>
      </w:pPr>
      <w:r>
        <w:separator/>
      </w:r>
    </w:p>
  </w:footnote>
  <w:footnote w:type="continuationSeparator" w:id="0">
    <w:p w14:paraId="3ED4D872" w14:textId="77777777" w:rsidR="00AD0600" w:rsidRDefault="00AD06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014A" w14:textId="77777777" w:rsidR="005758B1" w:rsidRDefault="005758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AD6F" w14:textId="77777777" w:rsidR="005758B1" w:rsidRDefault="005758B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CCE2" w14:textId="77777777" w:rsidR="005758B1" w:rsidRDefault="005758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70CB"/>
    <w:multiLevelType w:val="multilevel"/>
    <w:tmpl w:val="2D547EBE"/>
    <w:styleLink w:val="GeerliListe1"/>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ascii="Arial" w:eastAsia="Arial" w:hAnsi="Arial" w:cs="Arial" w:hint="default"/>
        <w:b/>
        <w:color w:val="2E75B6"/>
      </w:rPr>
    </w:lvl>
    <w:lvl w:ilvl="2">
      <w:start w:val="1"/>
      <w:numFmt w:val="decimal"/>
      <w:isLgl/>
      <w:lvlText w:val="%1.%2.%3."/>
      <w:lvlJc w:val="left"/>
      <w:pPr>
        <w:ind w:left="2062" w:hanging="720"/>
      </w:pPr>
      <w:rPr>
        <w:rFonts w:ascii="Arial" w:eastAsia="Arial" w:hAnsi="Arial" w:cs="Arial" w:hint="default"/>
        <w:b/>
        <w:color w:val="2E75B6"/>
      </w:rPr>
    </w:lvl>
    <w:lvl w:ilvl="3">
      <w:start w:val="1"/>
      <w:numFmt w:val="decimal"/>
      <w:isLgl/>
      <w:lvlText w:val="%1.%2.%3.%4."/>
      <w:lvlJc w:val="left"/>
      <w:pPr>
        <w:ind w:left="2913" w:hanging="1080"/>
      </w:pPr>
      <w:rPr>
        <w:rFonts w:ascii="Arial" w:eastAsia="Arial" w:hAnsi="Arial" w:cs="Arial" w:hint="default"/>
        <w:b/>
        <w:color w:val="2E75B6"/>
      </w:rPr>
    </w:lvl>
    <w:lvl w:ilvl="4">
      <w:start w:val="1"/>
      <w:numFmt w:val="decimal"/>
      <w:isLgl/>
      <w:lvlText w:val="%1.%2.%3.%4.%5."/>
      <w:lvlJc w:val="left"/>
      <w:pPr>
        <w:ind w:left="3404" w:hanging="1080"/>
      </w:pPr>
      <w:rPr>
        <w:rFonts w:ascii="Arial" w:eastAsia="Arial" w:hAnsi="Arial" w:cs="Arial" w:hint="default"/>
        <w:b/>
        <w:color w:val="2E75B6"/>
      </w:rPr>
    </w:lvl>
    <w:lvl w:ilvl="5">
      <w:start w:val="1"/>
      <w:numFmt w:val="decimal"/>
      <w:isLgl/>
      <w:lvlText w:val="%1.%2.%3.%4.%5.%6."/>
      <w:lvlJc w:val="left"/>
      <w:pPr>
        <w:ind w:left="4255" w:hanging="1440"/>
      </w:pPr>
      <w:rPr>
        <w:rFonts w:ascii="Arial" w:eastAsia="Arial" w:hAnsi="Arial" w:cs="Arial" w:hint="default"/>
        <w:b/>
        <w:color w:val="2E75B6"/>
      </w:rPr>
    </w:lvl>
    <w:lvl w:ilvl="6">
      <w:start w:val="1"/>
      <w:numFmt w:val="decimal"/>
      <w:isLgl/>
      <w:lvlText w:val="%1.%2.%3.%4.%5.%6.%7."/>
      <w:lvlJc w:val="left"/>
      <w:pPr>
        <w:ind w:left="4746" w:hanging="1440"/>
      </w:pPr>
      <w:rPr>
        <w:rFonts w:ascii="Arial" w:eastAsia="Arial" w:hAnsi="Arial" w:cs="Arial" w:hint="default"/>
        <w:b/>
        <w:color w:val="2E75B6"/>
      </w:rPr>
    </w:lvl>
    <w:lvl w:ilvl="7">
      <w:start w:val="1"/>
      <w:numFmt w:val="decimal"/>
      <w:isLgl/>
      <w:lvlText w:val="%1.%2.%3.%4.%5.%6.%7.%8."/>
      <w:lvlJc w:val="left"/>
      <w:pPr>
        <w:ind w:left="5597" w:hanging="1800"/>
      </w:pPr>
      <w:rPr>
        <w:rFonts w:ascii="Arial" w:eastAsia="Arial" w:hAnsi="Arial" w:cs="Arial" w:hint="default"/>
        <w:b/>
        <w:color w:val="2E75B6"/>
      </w:rPr>
    </w:lvl>
    <w:lvl w:ilvl="8">
      <w:start w:val="1"/>
      <w:numFmt w:val="decimal"/>
      <w:isLgl/>
      <w:lvlText w:val="%1.%2.%3.%4.%5.%6.%7.%8.%9."/>
      <w:lvlJc w:val="left"/>
      <w:pPr>
        <w:ind w:left="6088" w:hanging="1800"/>
      </w:pPr>
      <w:rPr>
        <w:rFonts w:ascii="Arial" w:eastAsia="Arial" w:hAnsi="Arial" w:cs="Arial" w:hint="default"/>
        <w:b/>
        <w:color w:val="2E75B6"/>
      </w:rPr>
    </w:lvl>
  </w:abstractNum>
  <w:abstractNum w:abstractNumId="1" w15:restartNumberingAfterBreak="0">
    <w:nsid w:val="42AB5040"/>
    <w:multiLevelType w:val="multilevel"/>
    <w:tmpl w:val="FF82C3B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54D00568"/>
    <w:multiLevelType w:val="hybridMultilevel"/>
    <w:tmpl w:val="C2C8F4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1A5A2A"/>
    <w:multiLevelType w:val="hybridMultilevel"/>
    <w:tmpl w:val="62248C46"/>
    <w:lvl w:ilvl="0" w:tplc="F77A8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3C6667"/>
    <w:multiLevelType w:val="multilevel"/>
    <w:tmpl w:val="1BF86306"/>
    <w:lvl w:ilvl="0">
      <w:start w:val="1"/>
      <w:numFmt w:val="decimal"/>
      <w:lvlText w:val="%1."/>
      <w:lvlJc w:val="left"/>
      <w:pPr>
        <w:ind w:left="720" w:hanging="360"/>
      </w:pPr>
      <w:rPr>
        <w:rFonts w:hint="default"/>
      </w:rPr>
    </w:lvl>
    <w:lvl w:ilvl="1">
      <w:start w:val="1"/>
      <w:numFmt w:val="decimal"/>
      <w:pStyle w:val="Balk1"/>
      <w:isLgl/>
      <w:lvlText w:val="%1.%2."/>
      <w:lvlJc w:val="left"/>
      <w:pPr>
        <w:ind w:left="1571" w:hanging="720"/>
      </w:pPr>
      <w:rPr>
        <w:rFonts w:ascii="Arial" w:hAnsi="Arial" w:cs="Arial" w:hint="default"/>
        <w:b/>
        <w:i w:val="0"/>
        <w:color w:val="000000" w:themeColor="text1"/>
      </w:rPr>
    </w:lvl>
    <w:lvl w:ilvl="2">
      <w:start w:val="1"/>
      <w:numFmt w:val="decimal"/>
      <w:isLgl/>
      <w:lvlText w:val="%1.%2.%3."/>
      <w:lvlJc w:val="left"/>
      <w:pPr>
        <w:ind w:left="2062" w:hanging="720"/>
      </w:pPr>
      <w:rPr>
        <w:rFonts w:ascii="Arial" w:eastAsia="Arial" w:hAnsi="Arial" w:cs="Arial" w:hint="default"/>
        <w:b/>
        <w:color w:val="2E75B6"/>
      </w:rPr>
    </w:lvl>
    <w:lvl w:ilvl="3">
      <w:start w:val="1"/>
      <w:numFmt w:val="decimal"/>
      <w:isLgl/>
      <w:lvlText w:val="%1.%2.%3.%4."/>
      <w:lvlJc w:val="left"/>
      <w:pPr>
        <w:ind w:left="2913" w:hanging="1080"/>
      </w:pPr>
      <w:rPr>
        <w:rFonts w:ascii="Arial" w:eastAsia="Arial" w:hAnsi="Arial" w:cs="Arial" w:hint="default"/>
        <w:b/>
        <w:color w:val="2E75B6"/>
      </w:rPr>
    </w:lvl>
    <w:lvl w:ilvl="4">
      <w:start w:val="1"/>
      <w:numFmt w:val="decimal"/>
      <w:isLgl/>
      <w:lvlText w:val="%1.%2.%3.%4.%5."/>
      <w:lvlJc w:val="left"/>
      <w:pPr>
        <w:ind w:left="3404" w:hanging="1080"/>
      </w:pPr>
      <w:rPr>
        <w:rFonts w:ascii="Arial" w:eastAsia="Arial" w:hAnsi="Arial" w:cs="Arial" w:hint="default"/>
        <w:b/>
        <w:color w:val="2E75B6"/>
      </w:rPr>
    </w:lvl>
    <w:lvl w:ilvl="5">
      <w:start w:val="1"/>
      <w:numFmt w:val="decimal"/>
      <w:isLgl/>
      <w:lvlText w:val="%1.%2.%3.%4.%5.%6."/>
      <w:lvlJc w:val="left"/>
      <w:pPr>
        <w:ind w:left="4255" w:hanging="1440"/>
      </w:pPr>
      <w:rPr>
        <w:rFonts w:ascii="Arial" w:eastAsia="Arial" w:hAnsi="Arial" w:cs="Arial" w:hint="default"/>
        <w:b/>
        <w:color w:val="2E75B6"/>
      </w:rPr>
    </w:lvl>
    <w:lvl w:ilvl="6">
      <w:start w:val="1"/>
      <w:numFmt w:val="decimal"/>
      <w:isLgl/>
      <w:lvlText w:val="%1.%2.%3.%4.%5.%6.%7."/>
      <w:lvlJc w:val="left"/>
      <w:pPr>
        <w:ind w:left="4746" w:hanging="1440"/>
      </w:pPr>
      <w:rPr>
        <w:rFonts w:ascii="Arial" w:eastAsia="Arial" w:hAnsi="Arial" w:cs="Arial" w:hint="default"/>
        <w:b/>
        <w:color w:val="2E75B6"/>
      </w:rPr>
    </w:lvl>
    <w:lvl w:ilvl="7">
      <w:start w:val="1"/>
      <w:numFmt w:val="decimal"/>
      <w:isLgl/>
      <w:lvlText w:val="%1.%2.%3.%4.%5.%6.%7.%8."/>
      <w:lvlJc w:val="left"/>
      <w:pPr>
        <w:ind w:left="5597" w:hanging="1800"/>
      </w:pPr>
      <w:rPr>
        <w:rFonts w:ascii="Arial" w:eastAsia="Arial" w:hAnsi="Arial" w:cs="Arial" w:hint="default"/>
        <w:b/>
        <w:color w:val="2E75B6"/>
      </w:rPr>
    </w:lvl>
    <w:lvl w:ilvl="8">
      <w:start w:val="1"/>
      <w:numFmt w:val="decimal"/>
      <w:isLgl/>
      <w:lvlText w:val="%1.%2.%3.%4.%5.%6.%7.%8.%9."/>
      <w:lvlJc w:val="left"/>
      <w:pPr>
        <w:ind w:left="6088" w:hanging="1800"/>
      </w:pPr>
      <w:rPr>
        <w:rFonts w:ascii="Arial" w:eastAsia="Arial" w:hAnsi="Arial" w:cs="Arial" w:hint="default"/>
        <w:b/>
        <w:color w:val="2E75B6"/>
      </w:rPr>
    </w:lvl>
  </w:abstractNum>
  <w:abstractNum w:abstractNumId="5" w15:restartNumberingAfterBreak="0">
    <w:nsid w:val="6CBC2DF9"/>
    <w:multiLevelType w:val="hybridMultilevel"/>
    <w:tmpl w:val="40186C00"/>
    <w:lvl w:ilvl="0" w:tplc="CD666774">
      <w:start w:val="3"/>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6F5302D6"/>
    <w:multiLevelType w:val="hybridMultilevel"/>
    <w:tmpl w:val="7A4ADD4A"/>
    <w:lvl w:ilvl="0" w:tplc="E4B48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1196380">
    <w:abstractNumId w:val="1"/>
  </w:num>
  <w:num w:numId="2" w16cid:durableId="2133866043">
    <w:abstractNumId w:val="5"/>
  </w:num>
  <w:num w:numId="3" w16cid:durableId="1569850339">
    <w:abstractNumId w:val="2"/>
  </w:num>
  <w:num w:numId="4" w16cid:durableId="200943365">
    <w:abstractNumId w:val="3"/>
  </w:num>
  <w:num w:numId="5" w16cid:durableId="1583180230">
    <w:abstractNumId w:val="3"/>
    <w:lvlOverride w:ilvl="0">
      <w:startOverride w:val="3"/>
    </w:lvlOverride>
  </w:num>
  <w:num w:numId="6" w16cid:durableId="191966945">
    <w:abstractNumId w:val="6"/>
  </w:num>
  <w:num w:numId="7" w16cid:durableId="619343485">
    <w:abstractNumId w:val="4"/>
  </w:num>
  <w:num w:numId="8" w16cid:durableId="1499928203">
    <w:abstractNumId w:val="0"/>
  </w:num>
  <w:num w:numId="9" w16cid:durableId="970787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3F"/>
    <w:rsid w:val="00026D3A"/>
    <w:rsid w:val="0003559D"/>
    <w:rsid w:val="000376B6"/>
    <w:rsid w:val="000C29EE"/>
    <w:rsid w:val="000D7C77"/>
    <w:rsid w:val="000E416D"/>
    <w:rsid w:val="00103DD9"/>
    <w:rsid w:val="00175BF7"/>
    <w:rsid w:val="001770CA"/>
    <w:rsid w:val="001961EC"/>
    <w:rsid w:val="001D03C6"/>
    <w:rsid w:val="001D5E7F"/>
    <w:rsid w:val="0020502B"/>
    <w:rsid w:val="0021603E"/>
    <w:rsid w:val="00234BE9"/>
    <w:rsid w:val="0025203A"/>
    <w:rsid w:val="002A2ACB"/>
    <w:rsid w:val="003178E0"/>
    <w:rsid w:val="003766B2"/>
    <w:rsid w:val="00387754"/>
    <w:rsid w:val="003C4AF9"/>
    <w:rsid w:val="003D475F"/>
    <w:rsid w:val="004233FE"/>
    <w:rsid w:val="004522F3"/>
    <w:rsid w:val="004570D9"/>
    <w:rsid w:val="004C2EAF"/>
    <w:rsid w:val="004E718A"/>
    <w:rsid w:val="00522444"/>
    <w:rsid w:val="005758B1"/>
    <w:rsid w:val="005D59E7"/>
    <w:rsid w:val="005F6314"/>
    <w:rsid w:val="005F7D4E"/>
    <w:rsid w:val="00617374"/>
    <w:rsid w:val="0062319C"/>
    <w:rsid w:val="00632D4B"/>
    <w:rsid w:val="00662A1B"/>
    <w:rsid w:val="006B3AFB"/>
    <w:rsid w:val="006B75D7"/>
    <w:rsid w:val="006F2A7F"/>
    <w:rsid w:val="006F3084"/>
    <w:rsid w:val="00716B57"/>
    <w:rsid w:val="00735155"/>
    <w:rsid w:val="00740169"/>
    <w:rsid w:val="00791E14"/>
    <w:rsid w:val="007D41D5"/>
    <w:rsid w:val="00816EEC"/>
    <w:rsid w:val="008352E3"/>
    <w:rsid w:val="00860175"/>
    <w:rsid w:val="0088223F"/>
    <w:rsid w:val="008F5F8E"/>
    <w:rsid w:val="0094780D"/>
    <w:rsid w:val="00993EF0"/>
    <w:rsid w:val="00A476DE"/>
    <w:rsid w:val="00AB17D7"/>
    <w:rsid w:val="00AD0600"/>
    <w:rsid w:val="00AE2722"/>
    <w:rsid w:val="00AF2E88"/>
    <w:rsid w:val="00B01805"/>
    <w:rsid w:val="00B215A5"/>
    <w:rsid w:val="00B35823"/>
    <w:rsid w:val="00B47001"/>
    <w:rsid w:val="00BA4352"/>
    <w:rsid w:val="00BF7857"/>
    <w:rsid w:val="00C3394E"/>
    <w:rsid w:val="00C67744"/>
    <w:rsid w:val="00C70E31"/>
    <w:rsid w:val="00C878C7"/>
    <w:rsid w:val="00CB04A4"/>
    <w:rsid w:val="00CF4D7C"/>
    <w:rsid w:val="00D0678E"/>
    <w:rsid w:val="00D61046"/>
    <w:rsid w:val="00DA578F"/>
    <w:rsid w:val="00DC35E5"/>
    <w:rsid w:val="00DF06F5"/>
    <w:rsid w:val="00E206A6"/>
    <w:rsid w:val="00E3292C"/>
    <w:rsid w:val="00E345A0"/>
    <w:rsid w:val="00E57E52"/>
    <w:rsid w:val="00E70CB3"/>
    <w:rsid w:val="00E8377F"/>
    <w:rsid w:val="00EA7BD5"/>
    <w:rsid w:val="00EB0CCE"/>
    <w:rsid w:val="00EE30E9"/>
    <w:rsid w:val="00EF747A"/>
    <w:rsid w:val="00F4065B"/>
    <w:rsid w:val="00F67F55"/>
    <w:rsid w:val="00F966B1"/>
    <w:rsid w:val="00FA4D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642D"/>
  <w15:docId w15:val="{479DC98F-DA86-FA48-B5E7-32C3A543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C6"/>
    <w:pPr>
      <w:spacing w:before="120" w:after="120" w:line="360" w:lineRule="auto"/>
      <w:ind w:firstLine="851"/>
      <w:jc w:val="both"/>
    </w:pPr>
    <w:rPr>
      <w:rFonts w:ascii="Times New Roman" w:eastAsia="Calibri" w:hAnsi="Times New Roman" w:cs="Times New Roman"/>
    </w:rPr>
  </w:style>
  <w:style w:type="paragraph" w:styleId="Balk1">
    <w:name w:val="heading 1"/>
    <w:basedOn w:val="Normal"/>
    <w:next w:val="Normal"/>
    <w:link w:val="Balk1Char"/>
    <w:autoRedefine/>
    <w:uiPriority w:val="9"/>
    <w:qFormat/>
    <w:rsid w:val="00E8377F"/>
    <w:pPr>
      <w:keepNext/>
      <w:numPr>
        <w:ilvl w:val="1"/>
        <w:numId w:val="7"/>
      </w:numPr>
      <w:outlineLvl w:val="0"/>
    </w:pPr>
    <w:rPr>
      <w:rFonts w:eastAsia="Times New Roman"/>
      <w:b/>
      <w:bCs/>
      <w:color w:val="000000" w:themeColor="text1"/>
      <w:kern w:val="32"/>
      <w:sz w:val="24"/>
      <w:szCs w:val="24"/>
    </w:rPr>
  </w:style>
  <w:style w:type="paragraph" w:styleId="Balk2">
    <w:name w:val="heading 2"/>
    <w:basedOn w:val="Normal"/>
    <w:next w:val="AralkYok"/>
    <w:link w:val="Balk2Char"/>
    <w:autoRedefine/>
    <w:uiPriority w:val="9"/>
    <w:unhideWhenUsed/>
    <w:qFormat/>
    <w:rsid w:val="00CF4D7C"/>
    <w:pPr>
      <w:keepNext/>
      <w:spacing w:before="300" w:after="300" w:line="240" w:lineRule="auto"/>
      <w:ind w:left="1571" w:hanging="720"/>
      <w:jc w:val="center"/>
      <w:outlineLvl w:val="1"/>
    </w:pPr>
    <w:rPr>
      <w:bCs/>
      <w:iCs/>
      <w:spacing w:val="3"/>
      <w:sz w:val="24"/>
      <w:szCs w:val="28"/>
      <w:shd w:val="clear" w:color="auto" w:fill="FFFFFF"/>
      <w:lang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377F"/>
    <w:rPr>
      <w:rFonts w:ascii="Times New Roman" w:eastAsia="Times New Roman" w:hAnsi="Times New Roman" w:cs="Times New Roman"/>
      <w:b/>
      <w:bCs/>
      <w:color w:val="000000" w:themeColor="text1"/>
      <w:kern w:val="32"/>
      <w:sz w:val="24"/>
      <w:szCs w:val="24"/>
    </w:rPr>
  </w:style>
  <w:style w:type="character" w:customStyle="1" w:styleId="Balk2Char">
    <w:name w:val="Başlık 2 Char"/>
    <w:basedOn w:val="VarsaylanParagrafYazTipi"/>
    <w:link w:val="Balk2"/>
    <w:uiPriority w:val="9"/>
    <w:rsid w:val="00CF4D7C"/>
    <w:rPr>
      <w:rFonts w:ascii="Times New Roman" w:eastAsia="Calibri" w:hAnsi="Times New Roman" w:cs="Times New Roman"/>
      <w:bCs/>
      <w:iCs/>
      <w:spacing w:val="3"/>
      <w:sz w:val="24"/>
      <w:szCs w:val="28"/>
      <w:lang w:bidi="tr-TR"/>
    </w:rPr>
  </w:style>
  <w:style w:type="paragraph" w:styleId="AltBilgi">
    <w:name w:val="footer"/>
    <w:basedOn w:val="Normal"/>
    <w:link w:val="AltBilgiChar"/>
    <w:uiPriority w:val="99"/>
    <w:unhideWhenUsed/>
    <w:rsid w:val="0088223F"/>
    <w:pPr>
      <w:tabs>
        <w:tab w:val="center" w:pos="4536"/>
        <w:tab w:val="right" w:pos="9072"/>
      </w:tabs>
    </w:pPr>
  </w:style>
  <w:style w:type="character" w:customStyle="1" w:styleId="AltBilgiChar">
    <w:name w:val="Alt Bilgi Char"/>
    <w:basedOn w:val="VarsaylanParagrafYazTipi"/>
    <w:link w:val="AltBilgi"/>
    <w:uiPriority w:val="99"/>
    <w:rsid w:val="0088223F"/>
    <w:rPr>
      <w:rFonts w:ascii="Times New Roman" w:eastAsia="Calibri" w:hAnsi="Times New Roman" w:cs="Times New Roman"/>
    </w:rPr>
  </w:style>
  <w:style w:type="character" w:styleId="Kpr">
    <w:name w:val="Hyperlink"/>
    <w:uiPriority w:val="99"/>
    <w:unhideWhenUsed/>
    <w:rsid w:val="0088223F"/>
    <w:rPr>
      <w:color w:val="0066CC"/>
      <w:u w:val="single"/>
    </w:rPr>
  </w:style>
  <w:style w:type="paragraph" w:styleId="T1">
    <w:name w:val="toc 1"/>
    <w:basedOn w:val="Normal"/>
    <w:next w:val="Normal"/>
    <w:autoRedefine/>
    <w:uiPriority w:val="39"/>
    <w:unhideWhenUsed/>
    <w:qFormat/>
    <w:rsid w:val="0088223F"/>
    <w:pPr>
      <w:tabs>
        <w:tab w:val="left" w:pos="0"/>
        <w:tab w:val="right" w:leader="dot" w:pos="8777"/>
      </w:tabs>
      <w:ind w:hanging="284"/>
      <w:jc w:val="left"/>
    </w:pPr>
    <w:rPr>
      <w:b/>
      <w:noProof/>
    </w:rPr>
  </w:style>
  <w:style w:type="paragraph" w:styleId="T2">
    <w:name w:val="toc 2"/>
    <w:basedOn w:val="Normal"/>
    <w:next w:val="Normal"/>
    <w:autoRedefine/>
    <w:uiPriority w:val="39"/>
    <w:unhideWhenUsed/>
    <w:qFormat/>
    <w:rsid w:val="0088223F"/>
    <w:pPr>
      <w:tabs>
        <w:tab w:val="left" w:pos="284"/>
        <w:tab w:val="left" w:pos="426"/>
        <w:tab w:val="left" w:pos="709"/>
        <w:tab w:val="right" w:leader="dot" w:pos="8777"/>
      </w:tabs>
      <w:ind w:left="397" w:hanging="397"/>
      <w:jc w:val="left"/>
    </w:pPr>
  </w:style>
  <w:style w:type="paragraph" w:styleId="TBal">
    <w:name w:val="TOC Heading"/>
    <w:basedOn w:val="Balk1"/>
    <w:next w:val="Normal"/>
    <w:uiPriority w:val="39"/>
    <w:unhideWhenUsed/>
    <w:qFormat/>
    <w:rsid w:val="0088223F"/>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tr-TR"/>
    </w:rPr>
  </w:style>
  <w:style w:type="paragraph" w:styleId="ResimYazs">
    <w:name w:val="caption"/>
    <w:basedOn w:val="Normal"/>
    <w:next w:val="Normal"/>
    <w:uiPriority w:val="35"/>
    <w:unhideWhenUsed/>
    <w:qFormat/>
    <w:rsid w:val="0088223F"/>
    <w:pPr>
      <w:spacing w:after="200" w:line="240" w:lineRule="auto"/>
    </w:pPr>
    <w:rPr>
      <w:i/>
      <w:iCs/>
      <w:color w:val="1F497D" w:themeColor="text2"/>
      <w:sz w:val="18"/>
      <w:szCs w:val="18"/>
    </w:rPr>
  </w:style>
  <w:style w:type="paragraph" w:styleId="AralkYok">
    <w:name w:val="No Spacing"/>
    <w:uiPriority w:val="1"/>
    <w:qFormat/>
    <w:rsid w:val="0088223F"/>
    <w:pPr>
      <w:spacing w:after="0"/>
      <w:ind w:firstLine="851"/>
      <w:jc w:val="both"/>
    </w:pPr>
    <w:rPr>
      <w:rFonts w:ascii="Times New Roman" w:eastAsia="Calibri" w:hAnsi="Times New Roman" w:cs="Times New Roman"/>
    </w:rPr>
  </w:style>
  <w:style w:type="paragraph" w:styleId="BalonMetni">
    <w:name w:val="Balloon Text"/>
    <w:basedOn w:val="Normal"/>
    <w:link w:val="BalonMetniChar"/>
    <w:uiPriority w:val="99"/>
    <w:semiHidden/>
    <w:unhideWhenUsed/>
    <w:rsid w:val="0088223F"/>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223F"/>
    <w:rPr>
      <w:rFonts w:ascii="Tahoma" w:eastAsia="Calibri" w:hAnsi="Tahoma" w:cs="Tahoma"/>
      <w:sz w:val="16"/>
      <w:szCs w:val="16"/>
    </w:rPr>
  </w:style>
  <w:style w:type="paragraph" w:styleId="ListeParagraf">
    <w:name w:val="List Paragraph"/>
    <w:basedOn w:val="Normal"/>
    <w:uiPriority w:val="34"/>
    <w:qFormat/>
    <w:rsid w:val="00EB0CCE"/>
    <w:pPr>
      <w:ind w:left="720"/>
      <w:contextualSpacing/>
    </w:pPr>
  </w:style>
  <w:style w:type="paragraph" w:customStyle="1" w:styleId="GrafikveTabloBal">
    <w:name w:val="Grafik ve Tablo Başlığı"/>
    <w:basedOn w:val="Normal"/>
    <w:link w:val="GrafikveTabloBalChar"/>
    <w:qFormat/>
    <w:rsid w:val="005758B1"/>
    <w:pPr>
      <w:spacing w:after="0" w:line="240" w:lineRule="auto"/>
      <w:jc w:val="center"/>
    </w:pPr>
    <w:rPr>
      <w:i/>
      <w:iCs/>
    </w:rPr>
  </w:style>
  <w:style w:type="character" w:customStyle="1" w:styleId="GrafikveTabloBalChar">
    <w:name w:val="Grafik ve Tablo Başlığı Char"/>
    <w:basedOn w:val="VarsaylanParagrafYazTipi"/>
    <w:link w:val="GrafikveTabloBal"/>
    <w:rsid w:val="005758B1"/>
    <w:rPr>
      <w:rFonts w:ascii="Times New Roman" w:eastAsia="Calibri" w:hAnsi="Times New Roman" w:cs="Times New Roman"/>
      <w:i/>
      <w:iCs/>
    </w:rPr>
  </w:style>
  <w:style w:type="paragraph" w:styleId="stBilgi">
    <w:name w:val="header"/>
    <w:basedOn w:val="Normal"/>
    <w:link w:val="stBilgiChar"/>
    <w:uiPriority w:val="99"/>
    <w:unhideWhenUsed/>
    <w:rsid w:val="005758B1"/>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5758B1"/>
    <w:rPr>
      <w:rFonts w:ascii="Times New Roman" w:eastAsia="Calibri" w:hAnsi="Times New Roman" w:cs="Times New Roman"/>
    </w:rPr>
  </w:style>
  <w:style w:type="numbering" w:customStyle="1" w:styleId="GeerliListe1">
    <w:name w:val="Geçerli Liste1"/>
    <w:uiPriority w:val="99"/>
    <w:rsid w:val="00E8377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0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BCEB-F3A3-41A8-880B-C0B57656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1330</Words>
  <Characters>7586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 erdem tunç</cp:lastModifiedBy>
  <cp:revision>23</cp:revision>
  <dcterms:created xsi:type="dcterms:W3CDTF">2024-06-12T19:33:00Z</dcterms:created>
  <dcterms:modified xsi:type="dcterms:W3CDTF">2026-05-19T11:23:00Z</dcterms:modified>
</cp:coreProperties>
</file>