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C72" w:rsidRDefault="00ED6E7F">
      <w:pPr>
        <w:spacing w:before="0" w:after="0"/>
        <w:jc w:val="center"/>
        <w:rPr>
          <w:b/>
          <w:bCs/>
          <w:color w:val="000000"/>
        </w:rPr>
      </w:pPr>
      <w:r>
        <w:rPr>
          <w:b/>
          <w:bCs/>
          <w:color w:val="000000"/>
        </w:rPr>
        <w:t>KARADENİZ TEKNİK ÜNİVERSİTESİ</w:t>
      </w:r>
    </w:p>
    <w:p w:rsidR="00D06C72" w:rsidRDefault="00ED6E7F">
      <w:pPr>
        <w:spacing w:before="0" w:after="0"/>
        <w:jc w:val="center"/>
        <w:rPr>
          <w:b/>
          <w:bCs/>
          <w:color w:val="000000"/>
        </w:rPr>
      </w:pPr>
      <w:r>
        <w:rPr>
          <w:b/>
          <w:bCs/>
          <w:color w:val="000000"/>
        </w:rPr>
        <w:t>İKTİSADİ VE İDARİ BİLİMLER FAKÜLTESİ</w:t>
      </w:r>
    </w:p>
    <w:p w:rsidR="00D06C72" w:rsidRDefault="00ED6E7F">
      <w:pPr>
        <w:spacing w:before="0" w:after="0"/>
        <w:jc w:val="center"/>
        <w:rPr>
          <w:b/>
          <w:bCs/>
          <w:color w:val="000000"/>
        </w:rPr>
      </w:pPr>
      <w:r>
        <w:rPr>
          <w:b/>
          <w:bCs/>
          <w:color w:val="000000"/>
        </w:rPr>
        <w:t>ÇALIŞMA EKONOMİSİ VE ENDÜSTRİ İLİŞKİLERİ BÖLÜMÜ</w:t>
      </w:r>
    </w:p>
    <w:p w:rsidR="00D06C72" w:rsidRDefault="00ED6E7F">
      <w:pPr>
        <w:spacing w:before="0" w:after="0"/>
        <w:jc w:val="center"/>
        <w:rPr>
          <w:b/>
          <w:bCs/>
          <w:color w:val="000000"/>
        </w:rPr>
      </w:pPr>
      <w:r>
        <w:rPr>
          <w:b/>
          <w:bCs/>
          <w:color w:val="000000"/>
        </w:rPr>
        <w:t>VERİ TOPLAMA VE DEĞERLENDİRME KOMİSYONU</w:t>
      </w:r>
    </w:p>
    <w:p w:rsidR="00D06C72" w:rsidRDefault="00D06C72">
      <w:pPr>
        <w:jc w:val="center"/>
        <w:rPr>
          <w:color w:val="000000"/>
        </w:rPr>
      </w:pPr>
    </w:p>
    <w:p w:rsidR="00D06C72" w:rsidRDefault="00D06C72">
      <w:pPr>
        <w:rPr>
          <w:color w:val="000000"/>
        </w:rPr>
      </w:pPr>
    </w:p>
    <w:p w:rsidR="00D06C72" w:rsidRDefault="00D06C72">
      <w:pPr>
        <w:rPr>
          <w:color w:val="000000"/>
        </w:rPr>
      </w:pPr>
    </w:p>
    <w:p w:rsidR="00D06C72" w:rsidRDefault="00D06C72">
      <w:pPr>
        <w:rPr>
          <w:color w:val="000000"/>
        </w:rPr>
      </w:pPr>
    </w:p>
    <w:p w:rsidR="00D06C72" w:rsidRDefault="00D06C72">
      <w:pPr>
        <w:rPr>
          <w:color w:val="000000"/>
        </w:rPr>
      </w:pPr>
    </w:p>
    <w:p w:rsidR="00D06C72" w:rsidRDefault="00D06C72">
      <w:pPr>
        <w:jc w:val="center"/>
        <w:rPr>
          <w:b/>
          <w:bCs/>
          <w:color w:val="000000"/>
        </w:rPr>
      </w:pPr>
    </w:p>
    <w:p w:rsidR="00D06C72" w:rsidRDefault="00D06C72">
      <w:pPr>
        <w:jc w:val="center"/>
        <w:rPr>
          <w:b/>
          <w:bCs/>
          <w:color w:val="000000"/>
        </w:rPr>
      </w:pPr>
    </w:p>
    <w:p w:rsidR="00D06C72" w:rsidRDefault="00ED6E7F">
      <w:pPr>
        <w:jc w:val="center"/>
        <w:rPr>
          <w:b/>
          <w:bCs/>
          <w:color w:val="000000"/>
        </w:rPr>
      </w:pPr>
      <w:r>
        <w:rPr>
          <w:b/>
          <w:bCs/>
          <w:color w:val="000000"/>
        </w:rPr>
        <w:t>2025-2026 GÜZ DÖNEMİ</w:t>
      </w:r>
    </w:p>
    <w:p w:rsidR="00423406" w:rsidRDefault="00423406">
      <w:pPr>
        <w:jc w:val="center"/>
        <w:rPr>
          <w:b/>
          <w:bCs/>
          <w:color w:val="000000"/>
        </w:rPr>
      </w:pPr>
      <w:r>
        <w:rPr>
          <w:b/>
          <w:bCs/>
          <w:color w:val="000000"/>
        </w:rPr>
        <w:t>ÇALIŞMA EKONOMİSİ VE ENDÜSTRİ İLİŞKİLERİ BÖLÜMÜ</w:t>
      </w:r>
    </w:p>
    <w:p w:rsidR="00D06C72" w:rsidRDefault="00423406">
      <w:pPr>
        <w:jc w:val="center"/>
        <w:rPr>
          <w:b/>
          <w:bCs/>
          <w:color w:val="000000"/>
        </w:rPr>
      </w:pPr>
      <w:bookmarkStart w:id="0" w:name="_GoBack"/>
      <w:bookmarkEnd w:id="0"/>
      <w:r>
        <w:rPr>
          <w:b/>
          <w:bCs/>
          <w:color w:val="000000"/>
        </w:rPr>
        <w:t>KARİYER</w:t>
      </w:r>
      <w:r w:rsidR="00ED6E7F">
        <w:rPr>
          <w:b/>
          <w:bCs/>
          <w:color w:val="000000"/>
        </w:rPr>
        <w:t xml:space="preserve"> VE </w:t>
      </w:r>
      <w:r>
        <w:rPr>
          <w:b/>
          <w:bCs/>
          <w:color w:val="000000"/>
        </w:rPr>
        <w:t>DANIŞMANLIK</w:t>
      </w:r>
      <w:r w:rsidR="00ED6E7F">
        <w:rPr>
          <w:b/>
          <w:bCs/>
          <w:color w:val="000000"/>
        </w:rPr>
        <w:t xml:space="preserve"> GÖRÜŞMELERİ </w:t>
      </w:r>
    </w:p>
    <w:p w:rsidR="00D06C72" w:rsidRDefault="00ED6E7F">
      <w:pPr>
        <w:jc w:val="center"/>
        <w:rPr>
          <w:b/>
          <w:bCs/>
          <w:color w:val="000000"/>
        </w:rPr>
      </w:pPr>
      <w:r>
        <w:rPr>
          <w:b/>
          <w:bCs/>
          <w:color w:val="000000"/>
        </w:rPr>
        <w:t>RAPORU</w:t>
      </w:r>
    </w:p>
    <w:p w:rsidR="00D06C72" w:rsidRDefault="00D06C72">
      <w:pPr>
        <w:jc w:val="center"/>
        <w:rPr>
          <w:b/>
          <w:bCs/>
          <w:color w:val="000000"/>
        </w:rPr>
      </w:pPr>
    </w:p>
    <w:p w:rsidR="00D06C72" w:rsidRDefault="00D06C72">
      <w:pPr>
        <w:jc w:val="center"/>
        <w:rPr>
          <w:b/>
          <w:bCs/>
          <w:color w:val="000000"/>
        </w:rPr>
      </w:pPr>
    </w:p>
    <w:p w:rsidR="00D06C72" w:rsidRDefault="00D06C72">
      <w:pPr>
        <w:jc w:val="center"/>
        <w:rPr>
          <w:b/>
          <w:bCs/>
          <w:color w:val="000000"/>
        </w:rPr>
      </w:pPr>
    </w:p>
    <w:p w:rsidR="00D06C72" w:rsidRDefault="00D06C72">
      <w:pPr>
        <w:jc w:val="center"/>
        <w:rPr>
          <w:b/>
          <w:bCs/>
          <w:color w:val="000000"/>
        </w:rPr>
      </w:pPr>
    </w:p>
    <w:p w:rsidR="00D06C72" w:rsidRDefault="00D06C72">
      <w:pPr>
        <w:jc w:val="center"/>
        <w:rPr>
          <w:b/>
          <w:bCs/>
          <w:color w:val="000000"/>
        </w:rPr>
      </w:pPr>
    </w:p>
    <w:p w:rsidR="00D06C72" w:rsidRDefault="00D06C72">
      <w:pPr>
        <w:jc w:val="center"/>
        <w:rPr>
          <w:b/>
          <w:bCs/>
          <w:color w:val="000000"/>
        </w:rPr>
      </w:pPr>
    </w:p>
    <w:p w:rsidR="00D06C72" w:rsidRDefault="00D06C72">
      <w:pPr>
        <w:jc w:val="center"/>
        <w:rPr>
          <w:b/>
          <w:bCs/>
          <w:color w:val="000000"/>
        </w:rPr>
      </w:pPr>
    </w:p>
    <w:p w:rsidR="00D06C72" w:rsidRDefault="00D06C72">
      <w:pPr>
        <w:jc w:val="center"/>
        <w:rPr>
          <w:b/>
          <w:bCs/>
          <w:color w:val="000000"/>
        </w:rPr>
      </w:pPr>
    </w:p>
    <w:p w:rsidR="00D06C72" w:rsidRDefault="00ED6E7F">
      <w:pPr>
        <w:jc w:val="center"/>
        <w:rPr>
          <w:b/>
          <w:bCs/>
          <w:color w:val="000000"/>
        </w:rPr>
      </w:pPr>
      <w:r>
        <w:rPr>
          <w:b/>
          <w:bCs/>
          <w:color w:val="000000"/>
        </w:rPr>
        <w:t xml:space="preserve">Hazırlayanlar </w:t>
      </w:r>
    </w:p>
    <w:p w:rsidR="00D06C72" w:rsidRDefault="00ED6E7F">
      <w:pPr>
        <w:jc w:val="center"/>
        <w:rPr>
          <w:b/>
          <w:bCs/>
          <w:color w:val="000000"/>
        </w:rPr>
      </w:pPr>
      <w:r>
        <w:rPr>
          <w:b/>
          <w:bCs/>
          <w:color w:val="000000"/>
        </w:rPr>
        <w:t xml:space="preserve">Dr. </w:t>
      </w:r>
      <w:proofErr w:type="spellStart"/>
      <w:r>
        <w:rPr>
          <w:b/>
          <w:bCs/>
          <w:color w:val="000000"/>
        </w:rPr>
        <w:t>Öğr</w:t>
      </w:r>
      <w:proofErr w:type="spellEnd"/>
      <w:r>
        <w:rPr>
          <w:b/>
          <w:bCs/>
          <w:color w:val="000000"/>
        </w:rPr>
        <w:t>. Üyesi Yusuf Erdem TUNÇ</w:t>
      </w:r>
    </w:p>
    <w:p w:rsidR="00D06C72" w:rsidRDefault="00ED6E7F">
      <w:pPr>
        <w:jc w:val="center"/>
        <w:rPr>
          <w:b/>
          <w:bCs/>
          <w:color w:val="000000"/>
        </w:rPr>
      </w:pPr>
      <w:r>
        <w:rPr>
          <w:b/>
          <w:bCs/>
          <w:color w:val="000000"/>
        </w:rPr>
        <w:t xml:space="preserve">Arş. Gör. Dr. </w:t>
      </w:r>
      <w:proofErr w:type="spellStart"/>
      <w:r>
        <w:rPr>
          <w:b/>
          <w:bCs/>
          <w:color w:val="000000"/>
        </w:rPr>
        <w:t>Ayşıl</w:t>
      </w:r>
      <w:proofErr w:type="spellEnd"/>
      <w:r>
        <w:rPr>
          <w:b/>
          <w:bCs/>
          <w:color w:val="000000"/>
        </w:rPr>
        <w:t xml:space="preserve"> KABAKÇI</w:t>
      </w:r>
      <w:r>
        <w:rPr>
          <w:b/>
          <w:bCs/>
          <w:color w:val="000000"/>
        </w:rPr>
        <w:br/>
      </w:r>
      <w:r>
        <w:rPr>
          <w:b/>
          <w:bCs/>
          <w:color w:val="000000"/>
        </w:rPr>
        <w:br/>
      </w:r>
    </w:p>
    <w:p w:rsidR="00D06C72" w:rsidRDefault="00ED6E7F">
      <w:pPr>
        <w:jc w:val="center"/>
        <w:rPr>
          <w:b/>
          <w:bCs/>
          <w:color w:val="000000"/>
        </w:rPr>
      </w:pPr>
      <w:r>
        <w:rPr>
          <w:b/>
          <w:bCs/>
          <w:color w:val="000000"/>
        </w:rPr>
        <w:t>Trabzon, Ocak 2026</w:t>
      </w:r>
    </w:p>
    <w:p w:rsidR="00D06C72" w:rsidRDefault="00D06C72">
      <w:pPr>
        <w:pStyle w:val="Balk1"/>
        <w:sectPr w:rsidR="00D06C7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851" w:footer="851" w:gutter="0"/>
          <w:pgNumType w:start="1"/>
          <w:cols w:space="708"/>
          <w:titlePg/>
        </w:sectPr>
      </w:pPr>
    </w:p>
    <w:p w:rsidR="00D06C72" w:rsidRDefault="00ED6E7F">
      <w:pPr>
        <w:pStyle w:val="Balk1"/>
      </w:pPr>
      <w:bookmarkStart w:id="1" w:name="_heading=h.s445ppbu0zsf" w:colFirst="0" w:colLast="0"/>
      <w:bookmarkEnd w:id="1"/>
      <w:r>
        <w:lastRenderedPageBreak/>
        <w:t>GİRİŞ</w:t>
      </w:r>
    </w:p>
    <w:p w:rsidR="00D06C72" w:rsidRDefault="00ED6E7F">
      <w:r>
        <w:t>Yükseköğretim kurumlarında akademik danışmanlık, öğrencilerin bireysel ve mesleki gelişim süreçlerinin izlenmesi bakımından önemli bir işlev üstlenmektedir. Bu bağlamda yürütülen görüşmeler; akademik güçlüklerin erken aşamada tespit edilmesine, kariyer bel</w:t>
      </w:r>
      <w:r>
        <w:t>irsizliklerinin giderilmesine ve öğrencilerin bölüm olanakları hakkında bilinçlendirilmesine zemin hazırlamaktadır. Söz konusu işlevlerin etkin biçimde yerine getirilmesi yalnızca bireysel görüşmelerin kalitesine değil; aynı zamanda bu görüşmelerden elde e</w:t>
      </w:r>
      <w:r>
        <w:t>dilen verinin sistematik biçimde analiz edilip kurumsal öğrenme süreçlerine aktarılmasına da bağlıdır.</w:t>
      </w:r>
    </w:p>
    <w:p w:rsidR="00D06C72" w:rsidRDefault="00ED6E7F">
      <w:r>
        <w:t>Bu değerlendirme raporu, 2025-2026 yılı güz dönemine ilişkin bölüm bünyesinde gerçekleştirilen toplam 101 danışmanlık görüşmesinin tematik ve genel anali</w:t>
      </w:r>
      <w:r>
        <w:t>zini içermektedir. Görüşme verisi; tarih, öğrencinin sınıf düzeyi, danışman adı, danışmanlık konusu ile önerilen çözüm ve yardımlar olmak üzere beş temel bileşenden oluşmaktadır. Söz konusu verinin bütünü incelenerek on tematik alan belirlenmiş; bu temalar</w:t>
      </w:r>
      <w:r>
        <w:t xml:space="preserve"> ışığında </w:t>
      </w:r>
      <w:r>
        <w:t>genel bir değerlendirme yapılmıştır. Rapor iki ana bölümden oluşmaktadır: birinci bölüm tematik analizi, ikinci bölüm ise genel değerlendirmeyi içermektedir.</w:t>
      </w:r>
    </w:p>
    <w:p w:rsidR="00D06C72" w:rsidRDefault="00ED6E7F">
      <w:pPr>
        <w:pStyle w:val="Balk1"/>
      </w:pPr>
      <w:r>
        <w:t>TEMATİK ANALİZ</w:t>
      </w:r>
    </w:p>
    <w:p w:rsidR="00D06C72" w:rsidRDefault="00ED6E7F">
      <w:r>
        <w:t>Görüşme verilerinin tematik analizi, beti</w:t>
      </w:r>
      <w:r>
        <w:t xml:space="preserve">mleyici bir sınıflandırmanın ötesine geçerek öğrenci ihtiyaçlarının yapısal örüntülerini ortaya koymayı hedeflemektedir. Bu kapsamda her görüşme, içerik bakımından birden fazla temaya </w:t>
      </w:r>
      <w:r w:rsidR="002B07FB">
        <w:t>dâhil</w:t>
      </w:r>
      <w:r>
        <w:t xml:space="preserve"> olabilmekte; temalar arası örtüşmeler ilgili başlıklar altında ayr</w:t>
      </w:r>
      <w:r>
        <w:t>ıca belirtilmektedir. Analiz sürecinde önceden belirlenmiş bir kategori listesi esas alınmamış; temalar doğrudan veriden türetilmiştir. Bu yaklaşım, veri setine içkin örüntüleri zorlama bir çerçeveye tabi kılmaksızın yansıtabilme bakımından önem taşımaktad</w:t>
      </w:r>
      <w:r>
        <w:t>ır.</w:t>
      </w:r>
      <w:r>
        <w:br w:type="page"/>
      </w:r>
    </w:p>
    <w:p w:rsidR="00D06C72" w:rsidRDefault="00ED6E7F">
      <w:pPr>
        <w:spacing w:before="60" w:after="100" w:line="240" w:lineRule="auto"/>
        <w:ind w:firstLine="0"/>
        <w:jc w:val="left"/>
        <w:rPr>
          <w:sz w:val="21"/>
          <w:szCs w:val="21"/>
        </w:rPr>
      </w:pPr>
      <w:r>
        <w:rPr>
          <w:b/>
          <w:bCs/>
        </w:rPr>
        <w:lastRenderedPageBreak/>
        <w:t>Tablo 1. Tematik Analiz Özeti</w:t>
      </w:r>
    </w:p>
    <w:tbl>
      <w:tblPr>
        <w:tblStyle w:val="a"/>
        <w:tblW w:w="97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4171"/>
        <w:gridCol w:w="1199"/>
        <w:gridCol w:w="898"/>
        <w:gridCol w:w="2925"/>
      </w:tblGrid>
      <w:tr w:rsidR="00D06C72">
        <w:trPr>
          <w:tblHeader/>
        </w:trPr>
        <w:tc>
          <w:tcPr>
            <w:tcW w:w="553" w:type="dxa"/>
            <w:tcBorders>
              <w:top w:val="single" w:sz="6" w:space="0" w:color="A0B4C8"/>
              <w:left w:val="single" w:sz="6" w:space="0" w:color="A0B4C8"/>
              <w:bottom w:val="single" w:sz="6" w:space="0" w:color="A0B4C8"/>
              <w:right w:val="single" w:sz="6" w:space="0" w:color="A0B4C8"/>
            </w:tcBorders>
            <w:shd w:val="clear" w:color="auto" w:fill="1F4E79"/>
            <w:tcMar>
              <w:top w:w="100" w:type="dxa"/>
              <w:left w:w="160" w:type="dxa"/>
              <w:bottom w:w="100" w:type="dxa"/>
              <w:right w:w="160" w:type="dxa"/>
            </w:tcMar>
            <w:vAlign w:val="center"/>
          </w:tcPr>
          <w:p w:rsidR="00D06C72" w:rsidRDefault="00ED6E7F">
            <w:pPr>
              <w:spacing w:before="0" w:after="0" w:line="240" w:lineRule="auto"/>
              <w:ind w:firstLine="0"/>
              <w:jc w:val="left"/>
              <w:rPr>
                <w:sz w:val="21"/>
                <w:szCs w:val="21"/>
              </w:rPr>
            </w:pPr>
            <w:r>
              <w:rPr>
                <w:b/>
                <w:bCs/>
                <w:sz w:val="19"/>
                <w:szCs w:val="19"/>
              </w:rPr>
              <w:t>No</w:t>
            </w:r>
          </w:p>
        </w:tc>
        <w:tc>
          <w:tcPr>
            <w:tcW w:w="4171" w:type="dxa"/>
            <w:tcBorders>
              <w:top w:val="single" w:sz="6" w:space="0" w:color="A0B4C8"/>
              <w:left w:val="single" w:sz="6" w:space="0" w:color="A0B4C8"/>
              <w:bottom w:val="single" w:sz="6" w:space="0" w:color="A0B4C8"/>
              <w:right w:val="single" w:sz="6" w:space="0" w:color="A0B4C8"/>
            </w:tcBorders>
            <w:shd w:val="clear" w:color="auto" w:fill="1F4E79"/>
            <w:tcMar>
              <w:top w:w="100" w:type="dxa"/>
              <w:left w:w="160" w:type="dxa"/>
              <w:bottom w:w="100" w:type="dxa"/>
              <w:right w:w="160" w:type="dxa"/>
            </w:tcMar>
            <w:vAlign w:val="center"/>
          </w:tcPr>
          <w:p w:rsidR="00D06C72" w:rsidRDefault="00ED6E7F">
            <w:pPr>
              <w:spacing w:before="0" w:after="0" w:line="240" w:lineRule="auto"/>
              <w:ind w:firstLine="0"/>
              <w:jc w:val="left"/>
              <w:rPr>
                <w:sz w:val="21"/>
                <w:szCs w:val="21"/>
              </w:rPr>
            </w:pPr>
            <w:r>
              <w:rPr>
                <w:b/>
                <w:bCs/>
                <w:sz w:val="19"/>
                <w:szCs w:val="19"/>
              </w:rPr>
              <w:t>Tema Adı</w:t>
            </w:r>
          </w:p>
        </w:tc>
        <w:tc>
          <w:tcPr>
            <w:tcW w:w="1199" w:type="dxa"/>
            <w:tcBorders>
              <w:top w:val="single" w:sz="6" w:space="0" w:color="A0B4C8"/>
              <w:left w:val="single" w:sz="6" w:space="0" w:color="A0B4C8"/>
              <w:bottom w:val="single" w:sz="6" w:space="0" w:color="A0B4C8"/>
              <w:right w:val="single" w:sz="6" w:space="0" w:color="A0B4C8"/>
            </w:tcBorders>
            <w:shd w:val="clear" w:color="auto" w:fill="1F4E79"/>
            <w:tcMar>
              <w:top w:w="100" w:type="dxa"/>
              <w:left w:w="160" w:type="dxa"/>
              <w:bottom w:w="100" w:type="dxa"/>
              <w:right w:w="160" w:type="dxa"/>
            </w:tcMar>
            <w:vAlign w:val="center"/>
          </w:tcPr>
          <w:p w:rsidR="00D06C72" w:rsidRDefault="00ED6E7F">
            <w:pPr>
              <w:spacing w:before="0" w:after="0" w:line="240" w:lineRule="auto"/>
              <w:ind w:firstLine="0"/>
              <w:jc w:val="center"/>
              <w:rPr>
                <w:sz w:val="21"/>
                <w:szCs w:val="21"/>
              </w:rPr>
            </w:pPr>
            <w:r>
              <w:rPr>
                <w:b/>
                <w:bCs/>
                <w:sz w:val="19"/>
                <w:szCs w:val="19"/>
              </w:rPr>
              <w:t>Görüşme</w:t>
            </w:r>
          </w:p>
        </w:tc>
        <w:tc>
          <w:tcPr>
            <w:tcW w:w="898" w:type="dxa"/>
            <w:tcBorders>
              <w:top w:val="single" w:sz="6" w:space="0" w:color="A0B4C8"/>
              <w:left w:val="single" w:sz="6" w:space="0" w:color="A0B4C8"/>
              <w:bottom w:val="single" w:sz="6" w:space="0" w:color="A0B4C8"/>
              <w:right w:val="single" w:sz="6" w:space="0" w:color="A0B4C8"/>
            </w:tcBorders>
            <w:shd w:val="clear" w:color="auto" w:fill="1F4E79"/>
            <w:tcMar>
              <w:top w:w="100" w:type="dxa"/>
              <w:left w:w="160" w:type="dxa"/>
              <w:bottom w:w="100" w:type="dxa"/>
              <w:right w:w="160" w:type="dxa"/>
            </w:tcMar>
            <w:vAlign w:val="center"/>
          </w:tcPr>
          <w:p w:rsidR="00D06C72" w:rsidRDefault="00ED6E7F">
            <w:pPr>
              <w:spacing w:before="0" w:after="0" w:line="240" w:lineRule="auto"/>
              <w:ind w:firstLine="0"/>
              <w:jc w:val="center"/>
              <w:rPr>
                <w:sz w:val="21"/>
                <w:szCs w:val="21"/>
              </w:rPr>
            </w:pPr>
            <w:r>
              <w:rPr>
                <w:b/>
                <w:bCs/>
                <w:sz w:val="19"/>
                <w:szCs w:val="19"/>
              </w:rPr>
              <w:t>Oran</w:t>
            </w:r>
          </w:p>
        </w:tc>
        <w:tc>
          <w:tcPr>
            <w:tcW w:w="2925" w:type="dxa"/>
            <w:tcBorders>
              <w:top w:val="single" w:sz="6" w:space="0" w:color="A0B4C8"/>
              <w:left w:val="single" w:sz="6" w:space="0" w:color="A0B4C8"/>
              <w:bottom w:val="single" w:sz="6" w:space="0" w:color="A0B4C8"/>
              <w:right w:val="single" w:sz="6" w:space="0" w:color="A0B4C8"/>
            </w:tcBorders>
            <w:shd w:val="clear" w:color="auto" w:fill="1F4E79"/>
            <w:tcMar>
              <w:top w:w="100" w:type="dxa"/>
              <w:left w:w="160" w:type="dxa"/>
              <w:bottom w:w="100" w:type="dxa"/>
              <w:right w:w="160" w:type="dxa"/>
            </w:tcMar>
            <w:vAlign w:val="center"/>
          </w:tcPr>
          <w:p w:rsidR="00D06C72" w:rsidRDefault="00ED6E7F">
            <w:pPr>
              <w:spacing w:before="0" w:after="0" w:line="240" w:lineRule="auto"/>
              <w:ind w:firstLine="0"/>
              <w:jc w:val="left"/>
              <w:rPr>
                <w:sz w:val="21"/>
                <w:szCs w:val="21"/>
              </w:rPr>
            </w:pPr>
            <w:r>
              <w:rPr>
                <w:b/>
                <w:bCs/>
                <w:sz w:val="19"/>
                <w:szCs w:val="19"/>
              </w:rPr>
              <w:t>Örtüşen Temalar</w:t>
            </w:r>
          </w:p>
        </w:tc>
      </w:tr>
      <w:tr w:rsidR="00D06C72">
        <w:tc>
          <w:tcPr>
            <w:tcW w:w="553"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b/>
                <w:bCs/>
                <w:sz w:val="19"/>
                <w:szCs w:val="19"/>
              </w:rPr>
              <w:t>1</w:t>
            </w:r>
          </w:p>
        </w:tc>
        <w:tc>
          <w:tcPr>
            <w:tcW w:w="4171"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Kariyer Planlaması ve Meslek Belirsizliği</w:t>
            </w:r>
          </w:p>
        </w:tc>
        <w:tc>
          <w:tcPr>
            <w:tcW w:w="1199"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63</w:t>
            </w:r>
          </w:p>
        </w:tc>
        <w:tc>
          <w:tcPr>
            <w:tcW w:w="898"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%62</w:t>
            </w:r>
          </w:p>
        </w:tc>
        <w:tc>
          <w:tcPr>
            <w:tcW w:w="2925"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Tema 2, 8</w:t>
            </w:r>
          </w:p>
        </w:tc>
      </w:tr>
      <w:tr w:rsidR="00D06C72">
        <w:tc>
          <w:tcPr>
            <w:tcW w:w="553"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b/>
                <w:bCs/>
                <w:sz w:val="19"/>
                <w:szCs w:val="19"/>
              </w:rPr>
              <w:t>2</w:t>
            </w:r>
          </w:p>
        </w:tc>
        <w:tc>
          <w:tcPr>
            <w:tcW w:w="4171"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KPSS ve Kamu Sektörü Yönelimi</w:t>
            </w:r>
          </w:p>
        </w:tc>
        <w:tc>
          <w:tcPr>
            <w:tcW w:w="1199"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43</w:t>
            </w:r>
          </w:p>
        </w:tc>
        <w:tc>
          <w:tcPr>
            <w:tcW w:w="898"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%43</w:t>
            </w:r>
          </w:p>
        </w:tc>
        <w:tc>
          <w:tcPr>
            <w:tcW w:w="2925"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Tema 1, 8, 10</w:t>
            </w:r>
          </w:p>
        </w:tc>
      </w:tr>
      <w:tr w:rsidR="00D06C72">
        <w:tc>
          <w:tcPr>
            <w:tcW w:w="553"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b/>
                <w:bCs/>
                <w:sz w:val="19"/>
                <w:szCs w:val="19"/>
              </w:rPr>
              <w:t>3</w:t>
            </w:r>
          </w:p>
        </w:tc>
        <w:tc>
          <w:tcPr>
            <w:tcW w:w="4171"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Staj Süreci ve Zorlukları</w:t>
            </w:r>
          </w:p>
        </w:tc>
        <w:tc>
          <w:tcPr>
            <w:tcW w:w="1199"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28</w:t>
            </w:r>
          </w:p>
        </w:tc>
        <w:tc>
          <w:tcPr>
            <w:tcW w:w="898"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%29</w:t>
            </w:r>
          </w:p>
        </w:tc>
        <w:tc>
          <w:tcPr>
            <w:tcW w:w="2925"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Tema 4, 10</w:t>
            </w:r>
          </w:p>
        </w:tc>
      </w:tr>
      <w:tr w:rsidR="00D06C72">
        <w:tc>
          <w:tcPr>
            <w:tcW w:w="553"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b/>
                <w:bCs/>
                <w:sz w:val="19"/>
                <w:szCs w:val="19"/>
              </w:rPr>
              <w:t>4</w:t>
            </w:r>
          </w:p>
        </w:tc>
        <w:tc>
          <w:tcPr>
            <w:tcW w:w="4171"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proofErr w:type="spellStart"/>
            <w:r>
              <w:rPr>
                <w:sz w:val="19"/>
                <w:szCs w:val="19"/>
              </w:rPr>
              <w:t>Erasmus</w:t>
            </w:r>
            <w:proofErr w:type="spellEnd"/>
            <w:r>
              <w:rPr>
                <w:sz w:val="19"/>
                <w:szCs w:val="19"/>
              </w:rPr>
              <w:t xml:space="preserve"> ve Yabancı Dil Engeli</w:t>
            </w:r>
          </w:p>
        </w:tc>
        <w:tc>
          <w:tcPr>
            <w:tcW w:w="1199"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16</w:t>
            </w:r>
          </w:p>
        </w:tc>
        <w:tc>
          <w:tcPr>
            <w:tcW w:w="898"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%16</w:t>
            </w:r>
          </w:p>
        </w:tc>
        <w:tc>
          <w:tcPr>
            <w:tcW w:w="2925"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Tema 3</w:t>
            </w:r>
          </w:p>
        </w:tc>
      </w:tr>
      <w:tr w:rsidR="00D06C72">
        <w:tc>
          <w:tcPr>
            <w:tcW w:w="553"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b/>
                <w:bCs/>
                <w:sz w:val="19"/>
                <w:szCs w:val="19"/>
              </w:rPr>
              <w:t>5</w:t>
            </w:r>
          </w:p>
        </w:tc>
        <w:tc>
          <w:tcPr>
            <w:tcW w:w="4171"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Dönemlik Akademik Durum Değerlendirmesi</w:t>
            </w:r>
          </w:p>
        </w:tc>
        <w:tc>
          <w:tcPr>
            <w:tcW w:w="1199"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32</w:t>
            </w:r>
          </w:p>
        </w:tc>
        <w:tc>
          <w:tcPr>
            <w:tcW w:w="898"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%33</w:t>
            </w:r>
          </w:p>
        </w:tc>
        <w:tc>
          <w:tcPr>
            <w:tcW w:w="2925"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Tema 6</w:t>
            </w:r>
          </w:p>
        </w:tc>
      </w:tr>
      <w:tr w:rsidR="00D06C72">
        <w:tc>
          <w:tcPr>
            <w:tcW w:w="553"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b/>
                <w:bCs/>
                <w:sz w:val="19"/>
                <w:szCs w:val="19"/>
              </w:rPr>
              <w:t>6</w:t>
            </w:r>
          </w:p>
        </w:tc>
        <w:tc>
          <w:tcPr>
            <w:tcW w:w="4171"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Sayısal Derslerde Güçlük ve Kilit Sorunu</w:t>
            </w:r>
          </w:p>
        </w:tc>
        <w:tc>
          <w:tcPr>
            <w:tcW w:w="1199"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18</w:t>
            </w:r>
          </w:p>
        </w:tc>
        <w:tc>
          <w:tcPr>
            <w:tcW w:w="898"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%18</w:t>
            </w:r>
          </w:p>
        </w:tc>
        <w:tc>
          <w:tcPr>
            <w:tcW w:w="2925"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Tema 5, 10</w:t>
            </w:r>
          </w:p>
        </w:tc>
      </w:tr>
      <w:tr w:rsidR="00D06C72">
        <w:tc>
          <w:tcPr>
            <w:tcW w:w="553"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b/>
                <w:bCs/>
                <w:sz w:val="19"/>
                <w:szCs w:val="19"/>
              </w:rPr>
              <w:t>7</w:t>
            </w:r>
          </w:p>
        </w:tc>
        <w:tc>
          <w:tcPr>
            <w:tcW w:w="4171"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Bitirme Tezi Süreci</w:t>
            </w:r>
          </w:p>
        </w:tc>
        <w:tc>
          <w:tcPr>
            <w:tcW w:w="1199"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8</w:t>
            </w:r>
          </w:p>
        </w:tc>
        <w:tc>
          <w:tcPr>
            <w:tcW w:w="898"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%8</w:t>
            </w:r>
          </w:p>
        </w:tc>
        <w:tc>
          <w:tcPr>
            <w:tcW w:w="2925"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Tema 8</w:t>
            </w:r>
          </w:p>
        </w:tc>
      </w:tr>
      <w:tr w:rsidR="00D06C72">
        <w:tc>
          <w:tcPr>
            <w:tcW w:w="553"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b/>
                <w:bCs/>
                <w:sz w:val="19"/>
                <w:szCs w:val="19"/>
              </w:rPr>
              <w:t>8</w:t>
            </w:r>
          </w:p>
        </w:tc>
        <w:tc>
          <w:tcPr>
            <w:tcW w:w="4171"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Yüksek Lisans ve Akademik Kariyer</w:t>
            </w:r>
          </w:p>
        </w:tc>
        <w:tc>
          <w:tcPr>
            <w:tcW w:w="1199"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11</w:t>
            </w:r>
          </w:p>
        </w:tc>
        <w:tc>
          <w:tcPr>
            <w:tcW w:w="898"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%11</w:t>
            </w:r>
          </w:p>
        </w:tc>
        <w:tc>
          <w:tcPr>
            <w:tcW w:w="2925"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Tema 1, 2, 7</w:t>
            </w:r>
          </w:p>
        </w:tc>
      </w:tr>
      <w:tr w:rsidR="00D06C72">
        <w:tc>
          <w:tcPr>
            <w:tcW w:w="553"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b/>
                <w:bCs/>
                <w:sz w:val="19"/>
                <w:szCs w:val="19"/>
              </w:rPr>
              <w:t>9</w:t>
            </w:r>
          </w:p>
        </w:tc>
        <w:tc>
          <w:tcPr>
            <w:tcW w:w="4171"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Öğrenme Yöntemleri ve Zaman Yönetimi</w:t>
            </w:r>
          </w:p>
        </w:tc>
        <w:tc>
          <w:tcPr>
            <w:tcW w:w="1199"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9</w:t>
            </w:r>
          </w:p>
        </w:tc>
        <w:tc>
          <w:tcPr>
            <w:tcW w:w="898"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%9</w:t>
            </w:r>
          </w:p>
        </w:tc>
        <w:tc>
          <w:tcPr>
            <w:tcW w:w="2925"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Tema 2, 6</w:t>
            </w:r>
          </w:p>
        </w:tc>
      </w:tr>
      <w:tr w:rsidR="00D06C72">
        <w:tc>
          <w:tcPr>
            <w:tcW w:w="553"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b/>
                <w:bCs/>
                <w:sz w:val="19"/>
                <w:szCs w:val="19"/>
              </w:rPr>
              <w:t>10</w:t>
            </w:r>
          </w:p>
        </w:tc>
        <w:tc>
          <w:tcPr>
            <w:tcW w:w="4171"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Müfredat ve Yapısal Geri Bildirim</w:t>
            </w:r>
          </w:p>
        </w:tc>
        <w:tc>
          <w:tcPr>
            <w:tcW w:w="1199"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17</w:t>
            </w:r>
          </w:p>
        </w:tc>
        <w:tc>
          <w:tcPr>
            <w:tcW w:w="898"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%17</w:t>
            </w:r>
          </w:p>
        </w:tc>
        <w:tc>
          <w:tcPr>
            <w:tcW w:w="2925"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Tema 2, 3, 6</w:t>
            </w:r>
          </w:p>
        </w:tc>
      </w:tr>
    </w:tbl>
    <w:p w:rsidR="00D06C72" w:rsidRDefault="00ED6E7F">
      <w:pPr>
        <w:spacing w:before="60" w:after="80" w:line="300" w:lineRule="auto"/>
        <w:ind w:firstLine="0"/>
        <w:rPr>
          <w:sz w:val="21"/>
          <w:szCs w:val="21"/>
        </w:rPr>
      </w:pPr>
      <w:r>
        <w:rPr>
          <w:i/>
          <w:iCs/>
          <w:sz w:val="18"/>
          <w:szCs w:val="18"/>
        </w:rPr>
        <w:t xml:space="preserve">Not: Görüşme sayıları toplandığında 101'i aşmaktadır; zira bir görüşme birden fazla temaya </w:t>
      </w:r>
      <w:r w:rsidR="002B07FB">
        <w:rPr>
          <w:i/>
          <w:iCs/>
          <w:sz w:val="18"/>
          <w:szCs w:val="18"/>
        </w:rPr>
        <w:t>dâhil</w:t>
      </w:r>
      <w:r>
        <w:rPr>
          <w:i/>
          <w:iCs/>
          <w:sz w:val="18"/>
          <w:szCs w:val="18"/>
        </w:rPr>
        <w:t xml:space="preserve"> olabilmektedir.</w:t>
      </w:r>
    </w:p>
    <w:p w:rsidR="00D06C72" w:rsidRDefault="00ED6E7F">
      <w:pPr>
        <w:rPr>
          <w:b/>
          <w:bCs/>
        </w:rPr>
      </w:pPr>
      <w:r>
        <w:rPr>
          <w:b/>
          <w:bCs/>
        </w:rPr>
        <w:t>Tema 1: Kariyer Planlaması ve Meslek Belirsizliği (63 görüşme, %62 görüşme)</w:t>
      </w:r>
    </w:p>
    <w:p w:rsidR="00D06C72" w:rsidRDefault="00ED6E7F">
      <w:r>
        <w:t>Bölüm öğrencilerinin mezuniyet sonrasına yönelik kariyer tasarımlarında belirgin bir belirsizlik örüntüsü gözlemlenmektedir. 101 görüşmenin 63'ünde (%62) kariyer planlaması ve mesl</w:t>
      </w:r>
      <w:r>
        <w:t>ek seçimine ilişkin sorular öne çıkmakta; bu oran, söz konusu temanın veri setinin en geniş kapsamlı tematik alanını oluşturduğuna işaret etmektedir. Öğrencilerin büyük bölümü kamu sektörü, özel sektör ve akademik kariyer seçeneklerini eş zamanlı olarak de</w:t>
      </w:r>
      <w:r>
        <w:t xml:space="preserve">ğerlendiren bir karar yapısı içinde bulunmakta; bu durum, mesleki kimlik oluşturma sürecinin henüz tamamlanmamış olduğuna </w:t>
      </w:r>
      <w:r w:rsidR="002B07FB">
        <w:t>işaret</w:t>
      </w:r>
      <w:r>
        <w:t xml:space="preserve"> etmektedir.</w:t>
      </w:r>
    </w:p>
    <w:p w:rsidR="00D06C72" w:rsidRDefault="00ED6E7F">
      <w:r>
        <w:t>Kariyer belirsizliğinin sınıf düzeyleri arasındaki dağılımı incelendiğinde, söz konusu temanın en yoğun biçimde 3.</w:t>
      </w:r>
      <w:r>
        <w:t xml:space="preserve"> sınıf görüşmelerinde tezahür ettiği görülmektedir. Öğrencilerin teorik birikimlerini edindikleri ancak mesleğe geçiş sürecinin henüz somutlaşmadığı bu aşama, kariyer belirsizliğinin doruk noktasını oluşturmaktadır. Nitekim aynı öğrenci tarafından pek çok </w:t>
      </w:r>
      <w:r>
        <w:t>ilişkili alanın değerlendirildiği pek çok görüşme söz konusudur. Genel dağılıma bakıldığında ise memurluk, bankacılık, insan kaynakları, mali müşavirlik, girişimcilik ve yargı alanları arasında kararsız kalındığı dikkat çekmektedir.</w:t>
      </w:r>
    </w:p>
    <w:p w:rsidR="00D06C72" w:rsidRDefault="00ED6E7F">
      <w:r>
        <w:t>Tüm bunlar değerlendiri</w:t>
      </w:r>
      <w:r>
        <w:t>ldiğinde, kariyer planlaması temasının bölüm danışmanlık sisteminin merkezinde yer alması gerektiği söylenebilecektir. Ancak görüşme kayıtları incelendiğinde</w:t>
      </w:r>
      <w:r w:rsidRPr="002B07FB">
        <w:rPr>
          <w:i/>
        </w:rPr>
        <w:t>, kariyer yönlendirmesinin büyük ölçüde bireysel danışman tercihlerine bırakıldığı ve bölüm düzeyin</w:t>
      </w:r>
      <w:r w:rsidRPr="002B07FB">
        <w:rPr>
          <w:i/>
        </w:rPr>
        <w:t>de sistematik bir kariyer rehberliği çerçevesinin bulunmadığı anlaşılmaktadır. Bu durum, söz konusu temanın yalnızca bireysel bir danışmanlık meselesi olmayıp bölüm genelinde ele alınması gereken yapısal bir ihtiyacı temsil ettiğine işaret etmektedir.</w:t>
      </w:r>
      <w:r>
        <w:br w:type="page"/>
      </w:r>
    </w:p>
    <w:p w:rsidR="00D06C72" w:rsidRDefault="00ED6E7F">
      <w:pPr>
        <w:rPr>
          <w:b/>
          <w:bCs/>
        </w:rPr>
      </w:pPr>
      <w:r>
        <w:rPr>
          <w:b/>
          <w:bCs/>
        </w:rPr>
        <w:lastRenderedPageBreak/>
        <w:t>Tem</w:t>
      </w:r>
      <w:r>
        <w:rPr>
          <w:b/>
          <w:bCs/>
        </w:rPr>
        <w:t>a 2: KPSS ve Kamu Sektörü Yönelimi (43 görüşme, %43 görüşme)</w:t>
      </w:r>
    </w:p>
    <w:p w:rsidR="00D06C72" w:rsidRDefault="00ED6E7F">
      <w:r>
        <w:t>KPSS sınavına hazırlık olgusu, bu veri setinde en sık karşılaşılan tekil kariyer hedefi olarak öne çıkmaktadır; 101 görüşmenin 43'ünde (%43) doğrudan ya da dolaylı biçimde KPSS referansı yer alma</w:t>
      </w:r>
      <w:r>
        <w:t xml:space="preserve">ktadır. Kaymakamlık, idari </w:t>
      </w:r>
      <w:r w:rsidR="002B07FB">
        <w:t>hâkimlik</w:t>
      </w:r>
      <w:r>
        <w:t>, vergi müfettişliği ve genel kamu memurluğu gibi pozisyonlara yönelik ilginin farklı sınıf düzeylerinde gözlemlenmesi, söz konusu eğilimin geçici bir tercih değil; bölüm öğrenci</w:t>
      </w:r>
      <w:r w:rsidR="002B07FB">
        <w:t>leri</w:t>
      </w:r>
      <w:r>
        <w:t xml:space="preserve"> </w:t>
      </w:r>
      <w:r w:rsidR="002B07FB">
        <w:t xml:space="preserve">arasında </w:t>
      </w:r>
      <w:r>
        <w:t>yapısal bir yönelim olduğuna iş</w:t>
      </w:r>
      <w:r>
        <w:t>aret etmektedir.</w:t>
      </w:r>
    </w:p>
    <w:p w:rsidR="00D06C72" w:rsidRDefault="00ED6E7F">
      <w:r>
        <w:t>Bu bağlamda dikkat çekici bir bulgu, KPSS hazırlığının 2. sınıf itibarıyla gündemin bir parçası haline geldiğidir. Söz konusu durum, lisans eğitiminin henüz orta aşamasında olan öğrencilerin bile mezuniyet sonrası sınav süreçlerini gündeml</w:t>
      </w:r>
      <w:r>
        <w:t>erine aldığını ortaya koymaktadır. Bununla birlikte, öğrencilerin bir bölümünün KPSS hazırlığını yüksek lisans ya da özel sektör seçeneğiyle eş zamanlı olarak değerlendirdiği de görüşme kayıtlarına yansımıştır; bu durum, kamu sektörü yöneliminin her durumd</w:t>
      </w:r>
      <w:r>
        <w:t>a kesin bir kariyer kararını temsil etmediğini göstermektedir.</w:t>
      </w:r>
    </w:p>
    <w:p w:rsidR="00D06C72" w:rsidRDefault="00ED6E7F">
      <w:r>
        <w:t xml:space="preserve">Danışmanlar genel olarak sınav konu sıralaması, çalışma stratejileri ve sınav kaygısı yönetimi konularında yönlendirme yapmış olmakla birlikte, </w:t>
      </w:r>
      <w:r w:rsidRPr="002B07FB">
        <w:rPr>
          <w:i/>
        </w:rPr>
        <w:t>bölüm düzeyinde sistematik bir KPSS hazırlık dest</w:t>
      </w:r>
      <w:r w:rsidRPr="002B07FB">
        <w:rPr>
          <w:i/>
        </w:rPr>
        <w:t>eğinin yokluğu</w:t>
      </w:r>
      <w:r>
        <w:t xml:space="preserve"> birden fazla görüşmede öğrenciler tarafından açıkça dile getirilmiştir. Bu olgu, onuncu temada ele alınan yapısal geri bildirimle doğrudan örtüşmektedir.</w:t>
      </w:r>
    </w:p>
    <w:p w:rsidR="00D06C72" w:rsidRDefault="00ED6E7F">
      <w:pPr>
        <w:rPr>
          <w:b/>
          <w:bCs/>
        </w:rPr>
      </w:pPr>
      <w:r>
        <w:rPr>
          <w:b/>
          <w:bCs/>
        </w:rPr>
        <w:t>Tema 3: Staj Süreci ve Zorlukları (28 görüşme, %29 görüşme)</w:t>
      </w:r>
    </w:p>
    <w:p w:rsidR="00D06C72" w:rsidRDefault="00ED6E7F">
      <w:r>
        <w:t>Staj, mesleki yetkinliğin g</w:t>
      </w:r>
      <w:r>
        <w:t>eliştirilmesi ve istihdam edilebilirliğin artırılması açısından lisans eğitiminin ayrılmaz bir bileşeni olarak değerlendirilmektedir. Bu bağlamda veriye yansıyan bulgular, söz konusu eğitim bileşenine ilişkin önemli yapısal sorunların varlığına dikkat çekm</w:t>
      </w:r>
      <w:r>
        <w:t>ektedir. 101 görüşmenin 28'inde (%29) staj süreci ve bu süreçte karşılaşılan güçlükler konu edilmiş; insan kaynakları, muhasebe ve kamu kurumları ağırlıklı olmak üzere çeşitli alanlarda staj deneyimi edinme isteği öğrenciler tarafından dile getirilmiştir.</w:t>
      </w:r>
    </w:p>
    <w:p w:rsidR="00D06C72" w:rsidRDefault="00ED6E7F">
      <w:r>
        <w:t xml:space="preserve">Bu noktada özellikle dikkat çeken bir bulgu, </w:t>
      </w:r>
      <w:r w:rsidRPr="00D25307">
        <w:rPr>
          <w:i/>
        </w:rPr>
        <w:t xml:space="preserve">staj sigortasının üniversite tarafından karşılanmaması durumunda öğrencilerin staj yapabilirliğinin doğrudan kısıtladığı </w:t>
      </w:r>
      <w:r>
        <w:t>yönündeki tespittir. Söz konusu sorun bir görüşmede (3. sınıf) açıkça ifade edilmiştir. Öt</w:t>
      </w:r>
      <w:r>
        <w:t>e yandan bir görüşmede staj sürecindeki zorluklar dekanlık düzeyinde ele alınmak üzere aktarılacağı kararı alınmıştır. Ancak sonuçlarına ilişkin kayıt henüz veri setinde yer almamaktadır. Tüm bunlar değerlendirildiğinde, staj sürecinin yalnızca bireysel da</w:t>
      </w:r>
      <w:r>
        <w:t>nışmanlık düzeyinde çözülemeyecek; kurumsal iş birliği ve idari destek gerektiren yapısal bir boyutu olduğu söylenebilecektir.</w:t>
      </w:r>
      <w:r>
        <w:br w:type="page"/>
      </w:r>
    </w:p>
    <w:p w:rsidR="00D06C72" w:rsidRDefault="00ED6E7F">
      <w:pPr>
        <w:rPr>
          <w:b/>
          <w:bCs/>
        </w:rPr>
      </w:pPr>
      <w:r>
        <w:rPr>
          <w:b/>
          <w:bCs/>
        </w:rPr>
        <w:lastRenderedPageBreak/>
        <w:t xml:space="preserve">Tema 4: </w:t>
      </w:r>
      <w:proofErr w:type="spellStart"/>
      <w:r>
        <w:rPr>
          <w:b/>
          <w:bCs/>
        </w:rPr>
        <w:t>Erasmus</w:t>
      </w:r>
      <w:proofErr w:type="spellEnd"/>
      <w:r>
        <w:rPr>
          <w:b/>
          <w:bCs/>
        </w:rPr>
        <w:t xml:space="preserve"> ve Yabancı Dil Engeli (16 görüşme, %16 görüşme)</w:t>
      </w:r>
    </w:p>
    <w:p w:rsidR="00D06C72" w:rsidRDefault="00ED6E7F">
      <w:proofErr w:type="spellStart"/>
      <w:r>
        <w:t>Erasmus</w:t>
      </w:r>
      <w:proofErr w:type="spellEnd"/>
      <w:r>
        <w:t xml:space="preserve"> programı, uluslararası öğrenci hareketliliğinin en yaygı</w:t>
      </w:r>
      <w:r>
        <w:t xml:space="preserve">n mekanizması olarak bölüm öğrencilerinin gündeminde yer tutmaktadır. Ancak 16 görüşmede (%16) konu edilen </w:t>
      </w:r>
      <w:proofErr w:type="spellStart"/>
      <w:r>
        <w:t>Erasmus</w:t>
      </w:r>
      <w:proofErr w:type="spellEnd"/>
      <w:r>
        <w:t xml:space="preserve"> talebi incelendiğinde, bu ilginin büyük ölçüde fiili katılıma dönüşmediği anlaşılmaktadır. Söz konusu durumun en belirleyici nedeni olarak </w:t>
      </w:r>
      <w:r w:rsidRPr="00D25307">
        <w:rPr>
          <w:i/>
        </w:rPr>
        <w:t>ya</w:t>
      </w:r>
      <w:r w:rsidRPr="00D25307">
        <w:rPr>
          <w:i/>
        </w:rPr>
        <w:t>bancı dil yetersizliği öne çıkmakta</w:t>
      </w:r>
      <w:r>
        <w:t>; bu engel, birbirinden bağımsız görüşmelerde tekrar eden tutarlı bir örüntü oluşturmaktadır.</w:t>
      </w:r>
    </w:p>
    <w:p w:rsidR="00D06C72" w:rsidRDefault="00ED6E7F">
      <w:r>
        <w:t xml:space="preserve">Dil yetersizliğinin yanı sıra </w:t>
      </w:r>
      <w:r w:rsidRPr="00D25307">
        <w:rPr>
          <w:i/>
        </w:rPr>
        <w:t>burs kaybı endişesi, akademik yükümlülükler (alttan ders alma kaygısı) ve maddi olanaksızlık</w:t>
      </w:r>
      <w:r>
        <w:t xml:space="preserve"> da programa katılımı kısıtlayan etkenler olarak görüşme kayıtlarına yansımıştır. Bu bağlamda, ilgi düzeyiyle fiili katılım oranı aras</w:t>
      </w:r>
      <w:r>
        <w:t xml:space="preserve">ındaki mesafenin yalnızca bireysel tercihlerden kaynaklanmadığı; yapısal ve finansal engellerin de belirleyici bir rol oynadığı değerlendirilebilecektir. Nitekim bir görüşmede maddi yetersizliğin </w:t>
      </w:r>
      <w:proofErr w:type="spellStart"/>
      <w:r>
        <w:t>Erasmus</w:t>
      </w:r>
      <w:proofErr w:type="spellEnd"/>
      <w:r>
        <w:t xml:space="preserve"> katılımını doğrudan engellediği ifade edilmiştir. Bu</w:t>
      </w:r>
      <w:r>
        <w:t xml:space="preserve"> olgu, </w:t>
      </w:r>
      <w:proofErr w:type="spellStart"/>
      <w:r>
        <w:t>Erasmus</w:t>
      </w:r>
      <w:proofErr w:type="spellEnd"/>
      <w:r>
        <w:t xml:space="preserve"> ilgisini yalnızca dil eğitimiyle değil; burs ve mali destek mekanizmalarıyla da ilişkili bir sorun olarak konumlandırmak gereğini ortaya koymaktadır.</w:t>
      </w:r>
    </w:p>
    <w:p w:rsidR="00D06C72" w:rsidRDefault="00ED6E7F">
      <w:pPr>
        <w:rPr>
          <w:b/>
          <w:bCs/>
        </w:rPr>
      </w:pPr>
      <w:r>
        <w:rPr>
          <w:b/>
          <w:bCs/>
        </w:rPr>
        <w:t>Tema 5: Dönemlik Akademik Durum Değerlendirmesi (32 görüşme, %33 görüşme)</w:t>
      </w:r>
    </w:p>
    <w:p w:rsidR="00D06C72" w:rsidRDefault="00ED6E7F">
      <w:r>
        <w:t>Dersler, sınavlar</w:t>
      </w:r>
      <w:r>
        <w:t xml:space="preserve"> ve genel akademik durumun sistematik biçimde ele alındığı görüşmeler, veri setinin %33'ünü (32 görüşme) oluşturmaktadır. Bu görüşmeler ağırlıklı olarak Doç. Dr. Burçin Eser (16 görüşme) ve Prof. Dr. Salih Dursun tarafından yürütülmüş; öğrencilerin dönem p</w:t>
      </w:r>
      <w:r>
        <w:t>lanlaması, alttan ders alma durumu ve devam koşulları konularında bilgilendirilmesi öncelikli hedef olmuştur.</w:t>
      </w:r>
    </w:p>
    <w:p w:rsidR="00D06C72" w:rsidRDefault="00ED6E7F">
      <w:r>
        <w:t xml:space="preserve">Bu bağlamda Doç. Dr. Burçin Eser tarafından yürütülen görüşmelerin tamamının "ihtiyaç duyduğunda gelebileceği hususunda bilgilendirme" ifadesiyle </w:t>
      </w:r>
      <w:r>
        <w:t>noktalandığı dikkat çekmektedir. Söz konusu yaklaşım, erişilebilir ve sürekliliği olan bir danışmanlık ilişkisini yansıtmakta; öğrenci tarafından gereksinim duyulduğunda danışmanlık sürecinin yeniden başlatılabileceği mesajını vermektedir. Bu tip düzenli d</w:t>
      </w:r>
      <w:r>
        <w:t>eğerlendirme görüşmelerinin, akademik güçlüklerin erken tespiti ve önleyici müdahale bakımından işlevsel bir mekanizma oluşturduğu söylenebilecektir.</w:t>
      </w:r>
    </w:p>
    <w:p w:rsidR="00D06C72" w:rsidRDefault="00ED6E7F">
      <w:pPr>
        <w:rPr>
          <w:b/>
          <w:bCs/>
        </w:rPr>
      </w:pPr>
      <w:r>
        <w:rPr>
          <w:b/>
          <w:bCs/>
        </w:rPr>
        <w:t>Tema 6: Sayısal Derslerde Güçlük ve Kilit Sorunu (18 görüşme, %18 görüşme)</w:t>
      </w:r>
    </w:p>
    <w:p w:rsidR="00D06C72" w:rsidRDefault="00ED6E7F">
      <w:r w:rsidRPr="00D25307">
        <w:rPr>
          <w:i/>
        </w:rPr>
        <w:t>Matematik, istatistik ve muhase</w:t>
      </w:r>
      <w:r w:rsidRPr="00D25307">
        <w:rPr>
          <w:i/>
        </w:rPr>
        <w:t>be gibi sayısal içerikli derslerde güçlük yaşandığına ilişkin tespitler</w:t>
      </w:r>
      <w:r>
        <w:t>, 18 görüşmede (%18) yer almaktadır. Bu tema özellikle 2. ve 3. sınıf görüşmelerinde belirginleşmekte olup söz konusu örüntü, sayısal müfredat bileşenlerine yönelik öğrencilerin durumun</w:t>
      </w:r>
      <w:r>
        <w:t>a ilişkin yapısal bir soru işareti doğurmaktadır. Nitekim az sayıda görüşmede sınıf kalabalığı ve destek materyali yetersizliği de güçlüğün nedenleri arasında sayılmıştır.</w:t>
      </w:r>
    </w:p>
    <w:p w:rsidR="00D06C72" w:rsidRDefault="00ED6E7F">
      <w:r>
        <w:t>Bu kapsamda ayrıca değerlendirilmesi gereken bir alt tema, "kilit" olarak adlandırıl</w:t>
      </w:r>
      <w:r>
        <w:t xml:space="preserve">an akademik başarısızlık durumudur. Kilit sorununa ilişkin görüşmeler (6 adet) her ne kadar sınırlı sayıda kalsa da etkilenen öğrencilerin danışmanlık sürecine </w:t>
      </w:r>
      <w:proofErr w:type="gramStart"/>
      <w:r>
        <w:t>dahil</w:t>
      </w:r>
      <w:proofErr w:type="gramEnd"/>
      <w:r>
        <w:t xml:space="preserve"> edildiğini ve durumun danışman düzeyinde </w:t>
      </w:r>
      <w:r>
        <w:lastRenderedPageBreak/>
        <w:t>takip edildiğini göstermektedir. Bununla birlikte</w:t>
      </w:r>
      <w:r>
        <w:t>, sayısal derslerdeki yapısal güçlüklerin yalnızca bireysel bir mesele olmayıp müfredat ve öğretim organizasyonuyla ilişkili olduğu söylenebilecektir.</w:t>
      </w:r>
    </w:p>
    <w:p w:rsidR="00D06C72" w:rsidRDefault="00ED6E7F">
      <w:pPr>
        <w:rPr>
          <w:b/>
          <w:bCs/>
        </w:rPr>
      </w:pPr>
      <w:r>
        <w:rPr>
          <w:b/>
          <w:bCs/>
        </w:rPr>
        <w:t>Tema 7: Bitirme Tezi Süreci (8 görüşme, %8 görüşme)</w:t>
      </w:r>
    </w:p>
    <w:p w:rsidR="00D06C72" w:rsidRDefault="00ED6E7F">
      <w:r>
        <w:t xml:space="preserve">Bitirme tezi, lisans eğitiminin en kapsamlı akademik </w:t>
      </w:r>
      <w:r>
        <w:t xml:space="preserve">çıktısı olma özelliğiyle 4. sınıf öğrencileri açısından kritik bir süreç oluşturmaktadır. Bu tema kapsamındaki 8 görüşme ağırlıklı olarak Dr. </w:t>
      </w:r>
      <w:proofErr w:type="spellStart"/>
      <w:r>
        <w:t>Öğr</w:t>
      </w:r>
      <w:proofErr w:type="spellEnd"/>
      <w:r>
        <w:t>. Üyesi Yusuf Erdem Tunç ve Doç. Dr. Burçin Eser tarafından yürütülmüş; konu seçimi, içindekiler bölümünün oluş</w:t>
      </w:r>
      <w:r>
        <w:t>turulması ve akademik yazım becerilerinin geliştirilmesi bu görüşmelerin temel içeriğini oluşturmuştur.</w:t>
      </w:r>
    </w:p>
    <w:p w:rsidR="00D06C72" w:rsidRDefault="00ED6E7F">
      <w:r>
        <w:t>Görüşme kayıtları incelendiğinde öğrencilerin bir bölümünün tez sürecine ilişkin temel sorularla danışmanıyla görüştüğü ve "bitirme tezi nedir" ya da "i</w:t>
      </w:r>
      <w:r>
        <w:t>çindekiler nasıl oluşturulur" gibi sorularla başlayan görüşmelerin belge ve kaynak yönlendirmesiyle sonuçlandığı anlaşılmaktadır. Bu durum, tez sürecine hazırlığın 3. sınıfın sonunda sistematik biçimde başlatılmasının ve öğrencilerin bu konuda önceden bilg</w:t>
      </w:r>
      <w:r>
        <w:t>ilendirilmesinin yararlı olabileceğine işaret etmektedir.</w:t>
      </w:r>
    </w:p>
    <w:p w:rsidR="00D06C72" w:rsidRDefault="00ED6E7F">
      <w:pPr>
        <w:rPr>
          <w:b/>
          <w:bCs/>
        </w:rPr>
      </w:pPr>
      <w:r>
        <w:rPr>
          <w:b/>
          <w:bCs/>
        </w:rPr>
        <w:t>Tema 8: Yüksek Lisans ve Akademik Kariyer (11 görüşme, %11 görüşme)</w:t>
      </w:r>
    </w:p>
    <w:p w:rsidR="00D06C72" w:rsidRDefault="00ED6E7F">
      <w:r>
        <w:t>Lisansüstü eğitim ve akademik kariyer konuları, 11 görüşmede (%11) gündemin bir parçası haline gelmiştir. ALES ve YDS sınavları, a</w:t>
      </w:r>
      <w:r>
        <w:t>raştırma görevliliğine atanma koşulları ve lisansüstü program seçimi bu görüşmelerin başlıca içeriğini oluşturmaktadır. Söz konusu ilginin 3. ve 4. sınıflarda belirginleşmesi, öğrencilerin akademik kariyer yolunu mezuniyete yaklaştıkça daha somut biçimde s</w:t>
      </w:r>
      <w:r>
        <w:t>orguladığına işaret etmektedir.</w:t>
      </w:r>
    </w:p>
    <w:p w:rsidR="00D06C72" w:rsidRDefault="00ED6E7F">
      <w:r>
        <w:t xml:space="preserve">Bu bağlamda dikkat çeken bir örüntü, 4. sınıf görüşmelerinde KPSS ile yüksek lisans seçeneklerinin zaman zaman eş zamanlı olarak değerlendirilmesidir. Söz konusu durum, mezuniyet sonrası yönelimlerin henüz netleşmediğine ve </w:t>
      </w:r>
      <w:r>
        <w:t>öğrencilerin karar sürecinde birden fazla seçeneği canlı tuttuğunu göstermektedir. Nitekim bu tema, kariyer planlaması ve KPSS temalarıyla geniş bir şekilde örtüşmekte; söz konusu üç tema bir arada değerlendirildiğinde bölüm öğrencilerinin kariyer gündemin</w:t>
      </w:r>
      <w:r>
        <w:t>in bütüncül bir fotoğrafını oluşturmaktadır.</w:t>
      </w:r>
    </w:p>
    <w:p w:rsidR="00D06C72" w:rsidRDefault="00ED6E7F">
      <w:pPr>
        <w:rPr>
          <w:b/>
          <w:bCs/>
        </w:rPr>
      </w:pPr>
      <w:r>
        <w:rPr>
          <w:b/>
          <w:bCs/>
        </w:rPr>
        <w:t>Tema 9: Öğrenme Yöntemleri ve Zaman Yönetimi (9 görüşme, %9 görüşme)</w:t>
      </w:r>
    </w:p>
    <w:p w:rsidR="00D06C72" w:rsidRDefault="00ED6E7F">
      <w:r>
        <w:t xml:space="preserve">Etkin ders çalışma stratejileri, zaman planlaması ve akademik </w:t>
      </w:r>
      <w:proofErr w:type="gramStart"/>
      <w:r>
        <w:t>motivasyon</w:t>
      </w:r>
      <w:proofErr w:type="gramEnd"/>
      <w:r>
        <w:t xml:space="preserve">, 9 görüşmede (%9) temel içerik olarak öne çıkmaktadır. Bu tema özellikle Prof. Dr. Güven Murat ve Dr. </w:t>
      </w:r>
      <w:proofErr w:type="spellStart"/>
      <w:r>
        <w:t>Öğr</w:t>
      </w:r>
      <w:proofErr w:type="spellEnd"/>
      <w:r>
        <w:t>. Üyesi Yusuf Erdem Tunç tarafından yürütülen görüşmelerde belirginleşmekte; a</w:t>
      </w:r>
      <w:r>
        <w:t xml:space="preserve">ralıklı tekrar, zihin sarayı ve </w:t>
      </w:r>
      <w:proofErr w:type="spellStart"/>
      <w:r>
        <w:t>önceliklendirme</w:t>
      </w:r>
      <w:proofErr w:type="spellEnd"/>
      <w:r>
        <w:t xml:space="preserve"> gibi </w:t>
      </w:r>
      <w:proofErr w:type="gramStart"/>
      <w:r>
        <w:t>spesifik</w:t>
      </w:r>
      <w:proofErr w:type="gramEnd"/>
      <w:r>
        <w:t xml:space="preserve"> öğrenme teknikleri aktarılmaktadır.</w:t>
      </w:r>
    </w:p>
    <w:p w:rsidR="00D06C72" w:rsidRDefault="00ED6E7F">
      <w:r>
        <w:t xml:space="preserve">Söz konusu görüşmelerin hem 1. sınıf hem de üst sınıf öğrencilerini kapsaması, öğrenme yöntemlerine duyulan ihtiyacın sınıf düzeyine bağımlı olmayan; aksine, </w:t>
      </w:r>
      <w:r>
        <w:t xml:space="preserve">bütün öğrenim sürecine yayılan bütünleşik bir destek alanı oluşturduğuna işaret etmektedir. Bu bağlamda bölüm düzeyinde yürütülecek </w:t>
      </w:r>
      <w:r>
        <w:lastRenderedPageBreak/>
        <w:t>akademik becerilere yönelik atölye ya da seminerlerin söz konusu ihtiyacı karşılamada işlevsel bir rol oynayabileceği değerl</w:t>
      </w:r>
      <w:r>
        <w:t>endirilebilecektir.</w:t>
      </w:r>
    </w:p>
    <w:p w:rsidR="00D06C72" w:rsidRDefault="00ED6E7F">
      <w:pPr>
        <w:rPr>
          <w:b/>
          <w:bCs/>
        </w:rPr>
      </w:pPr>
      <w:r>
        <w:rPr>
          <w:b/>
          <w:bCs/>
        </w:rPr>
        <w:t>Tema 10: Müfredat ve Yapısal Geri Bildirim (17 görüşme, %17 görüşme)</w:t>
      </w:r>
    </w:p>
    <w:p w:rsidR="00D06C72" w:rsidRPr="00D25307" w:rsidRDefault="00ED6E7F">
      <w:pPr>
        <w:rPr>
          <w:i/>
        </w:rPr>
      </w:pPr>
      <w:r>
        <w:t>Bu tema, öğrencilerin ders programı, öğretim organizasyonu ve bölüm olanakları hakkında dile getirdiği geri bildirimleri kapsamakta olup 17 görüşmede (%17) tezahür etm</w:t>
      </w:r>
      <w:r>
        <w:t xml:space="preserve">ektedir. Öne çıkan talepler şu biçimde sıralanabilir: </w:t>
      </w:r>
      <w:r w:rsidRPr="00D25307">
        <w:rPr>
          <w:i/>
        </w:rPr>
        <w:t>bilgisayarlı muhasebe ve ofis programları eğitiminin müfredata eklenmesi; KPSS bilgilendirme etkinlikleri düzenlenmesi, finansal okuryazarlık dersinin açılması; bazı derslerin çok erken saatte başlaması</w:t>
      </w:r>
      <w:r w:rsidRPr="00D25307">
        <w:rPr>
          <w:i/>
        </w:rPr>
        <w:t xml:space="preserve"> sorununun giderilmesi ve sınav kurallarının öğrencilere yeterince açıklanması.</w:t>
      </w:r>
    </w:p>
    <w:p w:rsidR="00D06C72" w:rsidRDefault="00ED6E7F">
      <w:r>
        <w:t xml:space="preserve">Bu geri bildirimlerin bağımsız görüşmelerde, farklı danışmanlar ve farklı sınıf düzeylerinde tekrar etmesi, bunların bireysel </w:t>
      </w:r>
      <w:r w:rsidR="00D25307">
        <w:t>şikâyetlerden</w:t>
      </w:r>
      <w:r>
        <w:t xml:space="preserve"> ziyade bölüm genelinde paylaşılan be</w:t>
      </w:r>
      <w:r>
        <w:t>klentileri yansıttığına işaret etmektedir. Söz konusu eğilimin sistematik biçimde belgelenmesi ve bölüm yönetimine aktarılması, müfredat güncellemelerinde kanıta dayalı bir zemin oluşturabilecektir. Öte yandan verinin niteliği, bu önerilerin öğrenci çoğunl</w:t>
      </w:r>
      <w:r>
        <w:t>uğunun mu yoksa sınırlı sayıda öğrencinin mi görüşünü temsil ettiğini kesin biçimde ortaya koymaya olanak tanımamakta; bu husus, gelecekteki analizlerde göz önünde bulundurulması gereken bir sınırlılık olarak bulunmaktadır.</w:t>
      </w:r>
    </w:p>
    <w:p w:rsidR="00D06C72" w:rsidRDefault="00ED6E7F">
      <w:pPr>
        <w:pStyle w:val="Balk2"/>
        <w:numPr>
          <w:ilvl w:val="1"/>
          <w:numId w:val="1"/>
        </w:numPr>
      </w:pPr>
      <w:r>
        <w:t>Temalar Arası İlişkiler</w:t>
      </w:r>
    </w:p>
    <w:p w:rsidR="00D06C72" w:rsidRDefault="00ED6E7F">
      <w:r>
        <w:t>Belirlen</w:t>
      </w:r>
      <w:r>
        <w:t>en on tema arasında belirgin örtüşmeler mevcuttur. Kariyer Planlaması ve Meslek Belirsizliği teması, KPSS ve Kamu Sektörü Yönelimi ile Yüksek Lisans ve Akademik Kariyer temalarıyla geniş bir kesişim alanı paylaşmaktadır; bu üç tema, mezuniyet sonrası yönel</w:t>
      </w:r>
      <w:r>
        <w:t xml:space="preserve">im sorununu farklı boyutlarıyla ele almaktadır. Benzer biçimde Staj Süreci teması, </w:t>
      </w:r>
      <w:proofErr w:type="spellStart"/>
      <w:r>
        <w:t>Erasmus</w:t>
      </w:r>
      <w:proofErr w:type="spellEnd"/>
      <w:r>
        <w:t xml:space="preserve"> başlığıyla pratik deneyim edinme ekseninde örtüşmekte; Sayısal Derslerde Güçlük teması ise Dönemlik Akademik Değerlendirme ve Müfredat Geri Bildirimi temalarıyla yap</w:t>
      </w:r>
      <w:r>
        <w:t>ısal bir bütünlük oluşturmaktadır.</w:t>
      </w:r>
    </w:p>
    <w:p w:rsidR="00D06C72" w:rsidRDefault="00ED6E7F">
      <w:r>
        <w:t>Bu bütüncül tablo göz önünde bulunduruld</w:t>
      </w:r>
      <w:r w:rsidR="00531116">
        <w:t>uğunda, bölüm öğrencilerinin</w:t>
      </w:r>
      <w:r>
        <w:t xml:space="preserve"> ihtiyaç profilinin birbiriyle iç içe geçmiş ve </w:t>
      </w:r>
      <w:proofErr w:type="gramStart"/>
      <w:r>
        <w:t>kümülatif</w:t>
      </w:r>
      <w:proofErr w:type="gramEnd"/>
      <w:r>
        <w:t xml:space="preserve"> bir yapı sergilediği söylenebilecektir. Söz konusu iç </w:t>
      </w:r>
      <w:proofErr w:type="spellStart"/>
      <w:r>
        <w:t>içelik</w:t>
      </w:r>
      <w:proofErr w:type="spellEnd"/>
      <w:r>
        <w:t>, danışmanlık süreçlerinin müst</w:t>
      </w:r>
      <w:r>
        <w:t>akil konular etrafında şekillenen bir yaklaşımdan ziyade öğrenciyi bütün olarak ele alan çok boyutlu bir çerçevede yürütülmesinin önem arz ettiğini göstermektedir.</w:t>
      </w:r>
      <w:r>
        <w:br w:type="page"/>
      </w:r>
    </w:p>
    <w:p w:rsidR="00D06C72" w:rsidRDefault="00ED6E7F">
      <w:pPr>
        <w:jc w:val="center"/>
      </w:pPr>
      <w:r>
        <w:lastRenderedPageBreak/>
        <w:t> </w:t>
      </w:r>
      <w:r>
        <w:rPr>
          <w:b/>
          <w:bCs/>
          <w:sz w:val="24"/>
          <w:szCs w:val="24"/>
        </w:rPr>
        <w:t>GENEL DEĞERLENDİRME</w:t>
      </w:r>
    </w:p>
    <w:p w:rsidR="00D06C72" w:rsidRDefault="00ED6E7F">
      <w:pPr>
        <w:pStyle w:val="Balk2"/>
      </w:pPr>
      <w:r>
        <w:t>2.1. Görüşmelerin Genel Profili</w:t>
      </w:r>
    </w:p>
    <w:p w:rsidR="00D06C72" w:rsidRDefault="00ED6E7F">
      <w:r>
        <w:t>2025-2026 yılı güz döneminde toplam 10</w:t>
      </w:r>
      <w:r>
        <w:t xml:space="preserve">1 danışmanlık görüşmesi yapılmıştır. Bu bağlamda rapor </w:t>
      </w:r>
      <w:r w:rsidR="00531116">
        <w:t>sadece bu döneme ilişkin veriler</w:t>
      </w:r>
      <w:r>
        <w:t xml:space="preserve"> sunmaktadır.</w:t>
      </w:r>
    </w:p>
    <w:p w:rsidR="00D06C72" w:rsidRDefault="00ED6E7F">
      <w:pPr>
        <w:spacing w:before="40" w:after="100" w:line="240" w:lineRule="auto"/>
        <w:ind w:firstLine="0"/>
        <w:jc w:val="left"/>
        <w:rPr>
          <w:sz w:val="21"/>
          <w:szCs w:val="21"/>
        </w:rPr>
      </w:pPr>
      <w:r>
        <w:rPr>
          <w:b/>
          <w:bCs/>
        </w:rPr>
        <w:t>Tablo 2. Sınıf Düzeyine Göre Görüşme Dağılımı</w:t>
      </w:r>
    </w:p>
    <w:tbl>
      <w:tblPr>
        <w:tblStyle w:val="a0"/>
        <w:tblW w:w="97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0"/>
        <w:gridCol w:w="1400"/>
        <w:gridCol w:w="1200"/>
        <w:gridCol w:w="5546"/>
      </w:tblGrid>
      <w:tr w:rsidR="00D06C72">
        <w:trPr>
          <w:tblHeader/>
        </w:trPr>
        <w:tc>
          <w:tcPr>
            <w:tcW w:w="1600" w:type="dxa"/>
            <w:tcBorders>
              <w:top w:val="single" w:sz="6" w:space="0" w:color="A0B4C8"/>
              <w:left w:val="single" w:sz="6" w:space="0" w:color="A0B4C8"/>
              <w:bottom w:val="single" w:sz="6" w:space="0" w:color="A0B4C8"/>
              <w:right w:val="single" w:sz="6" w:space="0" w:color="A0B4C8"/>
            </w:tcBorders>
            <w:shd w:val="clear" w:color="auto" w:fill="1F4E79"/>
            <w:tcMar>
              <w:top w:w="100" w:type="dxa"/>
              <w:left w:w="160" w:type="dxa"/>
              <w:bottom w:w="100" w:type="dxa"/>
              <w:right w:w="160" w:type="dxa"/>
            </w:tcMar>
            <w:vAlign w:val="center"/>
          </w:tcPr>
          <w:p w:rsidR="00D06C72" w:rsidRDefault="00ED6E7F">
            <w:pPr>
              <w:spacing w:before="0" w:after="0" w:line="240" w:lineRule="auto"/>
              <w:ind w:firstLine="0"/>
              <w:jc w:val="left"/>
              <w:rPr>
                <w:sz w:val="21"/>
                <w:szCs w:val="21"/>
              </w:rPr>
            </w:pPr>
            <w:r>
              <w:rPr>
                <w:b/>
                <w:bCs/>
                <w:sz w:val="19"/>
                <w:szCs w:val="19"/>
              </w:rPr>
              <w:t>Sınıf</w:t>
            </w:r>
          </w:p>
        </w:tc>
        <w:tc>
          <w:tcPr>
            <w:tcW w:w="1400" w:type="dxa"/>
            <w:tcBorders>
              <w:top w:val="single" w:sz="6" w:space="0" w:color="A0B4C8"/>
              <w:left w:val="single" w:sz="6" w:space="0" w:color="A0B4C8"/>
              <w:bottom w:val="single" w:sz="6" w:space="0" w:color="A0B4C8"/>
              <w:right w:val="single" w:sz="6" w:space="0" w:color="A0B4C8"/>
            </w:tcBorders>
            <w:shd w:val="clear" w:color="auto" w:fill="1F4E79"/>
            <w:tcMar>
              <w:top w:w="100" w:type="dxa"/>
              <w:left w:w="160" w:type="dxa"/>
              <w:bottom w:w="100" w:type="dxa"/>
              <w:right w:w="160" w:type="dxa"/>
            </w:tcMar>
            <w:vAlign w:val="center"/>
          </w:tcPr>
          <w:p w:rsidR="00D06C72" w:rsidRDefault="00ED6E7F">
            <w:pPr>
              <w:spacing w:before="0" w:after="0" w:line="240" w:lineRule="auto"/>
              <w:ind w:firstLine="0"/>
              <w:jc w:val="center"/>
              <w:rPr>
                <w:sz w:val="21"/>
                <w:szCs w:val="21"/>
              </w:rPr>
            </w:pPr>
            <w:r>
              <w:rPr>
                <w:b/>
                <w:bCs/>
                <w:sz w:val="19"/>
                <w:szCs w:val="19"/>
              </w:rPr>
              <w:t>Görüşme Sayısı</w:t>
            </w:r>
          </w:p>
        </w:tc>
        <w:tc>
          <w:tcPr>
            <w:tcW w:w="1200" w:type="dxa"/>
            <w:tcBorders>
              <w:top w:val="single" w:sz="6" w:space="0" w:color="A0B4C8"/>
              <w:left w:val="single" w:sz="6" w:space="0" w:color="A0B4C8"/>
              <w:bottom w:val="single" w:sz="6" w:space="0" w:color="A0B4C8"/>
              <w:right w:val="single" w:sz="6" w:space="0" w:color="A0B4C8"/>
            </w:tcBorders>
            <w:shd w:val="clear" w:color="auto" w:fill="1F4E79"/>
            <w:tcMar>
              <w:top w:w="100" w:type="dxa"/>
              <w:left w:w="160" w:type="dxa"/>
              <w:bottom w:w="100" w:type="dxa"/>
              <w:right w:w="160" w:type="dxa"/>
            </w:tcMar>
            <w:vAlign w:val="center"/>
          </w:tcPr>
          <w:p w:rsidR="00D06C72" w:rsidRDefault="00ED6E7F">
            <w:pPr>
              <w:spacing w:before="0" w:after="0" w:line="240" w:lineRule="auto"/>
              <w:ind w:firstLine="0"/>
              <w:jc w:val="center"/>
              <w:rPr>
                <w:sz w:val="21"/>
                <w:szCs w:val="21"/>
              </w:rPr>
            </w:pPr>
            <w:r>
              <w:rPr>
                <w:b/>
                <w:bCs/>
                <w:sz w:val="19"/>
                <w:szCs w:val="19"/>
              </w:rPr>
              <w:t>Oran</w:t>
            </w:r>
          </w:p>
        </w:tc>
        <w:tc>
          <w:tcPr>
            <w:tcW w:w="5546" w:type="dxa"/>
            <w:tcBorders>
              <w:top w:val="single" w:sz="6" w:space="0" w:color="A0B4C8"/>
              <w:left w:val="single" w:sz="6" w:space="0" w:color="A0B4C8"/>
              <w:bottom w:val="single" w:sz="6" w:space="0" w:color="A0B4C8"/>
              <w:right w:val="single" w:sz="6" w:space="0" w:color="A0B4C8"/>
            </w:tcBorders>
            <w:shd w:val="clear" w:color="auto" w:fill="1F4E79"/>
            <w:tcMar>
              <w:top w:w="100" w:type="dxa"/>
              <w:left w:w="160" w:type="dxa"/>
              <w:bottom w:w="100" w:type="dxa"/>
              <w:right w:w="160" w:type="dxa"/>
            </w:tcMar>
            <w:vAlign w:val="center"/>
          </w:tcPr>
          <w:p w:rsidR="00D06C72" w:rsidRDefault="00ED6E7F">
            <w:pPr>
              <w:spacing w:before="0" w:after="0" w:line="240" w:lineRule="auto"/>
              <w:ind w:firstLine="0"/>
              <w:jc w:val="left"/>
              <w:rPr>
                <w:sz w:val="21"/>
                <w:szCs w:val="21"/>
              </w:rPr>
            </w:pPr>
            <w:r>
              <w:rPr>
                <w:b/>
                <w:bCs/>
                <w:sz w:val="19"/>
                <w:szCs w:val="19"/>
              </w:rPr>
              <w:t>Öne Çıkan Konular</w:t>
            </w:r>
          </w:p>
        </w:tc>
      </w:tr>
      <w:tr w:rsidR="00D06C72">
        <w:tc>
          <w:tcPr>
            <w:tcW w:w="1600"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1. Sınıf</w:t>
            </w:r>
          </w:p>
        </w:tc>
        <w:tc>
          <w:tcPr>
            <w:tcW w:w="1400"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10</w:t>
            </w:r>
          </w:p>
        </w:tc>
        <w:tc>
          <w:tcPr>
            <w:tcW w:w="1200"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%10</w:t>
            </w:r>
          </w:p>
        </w:tc>
        <w:tc>
          <w:tcPr>
            <w:tcW w:w="5546"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 xml:space="preserve">Ders uyumu, kariyer merakı, ders programı </w:t>
            </w:r>
            <w:r w:rsidR="00531116">
              <w:rPr>
                <w:i/>
                <w:iCs/>
                <w:sz w:val="19"/>
                <w:szCs w:val="19"/>
              </w:rPr>
              <w:t>şikâyeti</w:t>
            </w:r>
          </w:p>
        </w:tc>
      </w:tr>
      <w:tr w:rsidR="00D06C72">
        <w:tc>
          <w:tcPr>
            <w:tcW w:w="1600"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2. Sınıf</w:t>
            </w:r>
          </w:p>
        </w:tc>
        <w:tc>
          <w:tcPr>
            <w:tcW w:w="1400"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30</w:t>
            </w:r>
          </w:p>
        </w:tc>
        <w:tc>
          <w:tcPr>
            <w:tcW w:w="1200"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%31</w:t>
            </w:r>
          </w:p>
        </w:tc>
        <w:tc>
          <w:tcPr>
            <w:tcW w:w="5546"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 xml:space="preserve">Sayısal </w:t>
            </w:r>
            <w:r w:rsidR="00531116">
              <w:rPr>
                <w:i/>
                <w:iCs/>
                <w:sz w:val="19"/>
                <w:szCs w:val="19"/>
              </w:rPr>
              <w:t xml:space="preserve">derslerde </w:t>
            </w:r>
            <w:r>
              <w:rPr>
                <w:i/>
                <w:iCs/>
                <w:sz w:val="19"/>
                <w:szCs w:val="19"/>
              </w:rPr>
              <w:t>güçlük, kariyer belirsizliği, KPSS</w:t>
            </w:r>
          </w:p>
        </w:tc>
      </w:tr>
      <w:tr w:rsidR="00D06C72">
        <w:tc>
          <w:tcPr>
            <w:tcW w:w="1600"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3. Sınıf</w:t>
            </w:r>
          </w:p>
        </w:tc>
        <w:tc>
          <w:tcPr>
            <w:tcW w:w="1400"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38</w:t>
            </w:r>
          </w:p>
        </w:tc>
        <w:tc>
          <w:tcPr>
            <w:tcW w:w="1200"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%39</w:t>
            </w:r>
          </w:p>
        </w:tc>
        <w:tc>
          <w:tcPr>
            <w:tcW w:w="5546"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 xml:space="preserve">Kariyer planlaması, staj, </w:t>
            </w:r>
            <w:proofErr w:type="spellStart"/>
            <w:r>
              <w:rPr>
                <w:i/>
                <w:iCs/>
                <w:sz w:val="19"/>
                <w:szCs w:val="19"/>
              </w:rPr>
              <w:t>Erasmus</w:t>
            </w:r>
            <w:proofErr w:type="spellEnd"/>
            <w:r>
              <w:rPr>
                <w:i/>
                <w:iCs/>
                <w:sz w:val="19"/>
                <w:szCs w:val="19"/>
              </w:rPr>
              <w:t>, KPSS</w:t>
            </w:r>
          </w:p>
        </w:tc>
      </w:tr>
      <w:tr w:rsidR="00D06C72">
        <w:tc>
          <w:tcPr>
            <w:tcW w:w="1600"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4. Sınıf</w:t>
            </w:r>
          </w:p>
        </w:tc>
        <w:tc>
          <w:tcPr>
            <w:tcW w:w="1400"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20</w:t>
            </w:r>
          </w:p>
        </w:tc>
        <w:tc>
          <w:tcPr>
            <w:tcW w:w="1200"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%20</w:t>
            </w:r>
          </w:p>
        </w:tc>
        <w:tc>
          <w:tcPr>
            <w:tcW w:w="5546"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Bitirme tezi, KPSS/yüksek lisans, mezuniyet yönelimi</w:t>
            </w:r>
          </w:p>
        </w:tc>
      </w:tr>
      <w:tr w:rsidR="00D06C72">
        <w:tc>
          <w:tcPr>
            <w:tcW w:w="1600" w:type="dxa"/>
            <w:tcBorders>
              <w:top w:val="single" w:sz="6" w:space="0" w:color="A0B4C8"/>
              <w:left w:val="single" w:sz="6" w:space="0" w:color="A0B4C8"/>
              <w:bottom w:val="single" w:sz="6" w:space="0" w:color="A0B4C8"/>
              <w:right w:val="single" w:sz="6" w:space="0" w:color="A0B4C8"/>
            </w:tcBorders>
            <w:shd w:val="clear" w:color="auto" w:fill="D6E4F0"/>
            <w:tcMar>
              <w:top w:w="80" w:type="dxa"/>
              <w:left w:w="160" w:type="dxa"/>
              <w:bottom w:w="80" w:type="dxa"/>
              <w:right w:w="160" w:type="dxa"/>
            </w:tcMar>
          </w:tcPr>
          <w:p w:rsidR="00D06C72" w:rsidRDefault="00ED6E7F">
            <w:pPr>
              <w:spacing w:before="0" w:after="0" w:line="240" w:lineRule="auto"/>
              <w:ind w:firstLine="0"/>
              <w:jc w:val="left"/>
              <w:rPr>
                <w:sz w:val="21"/>
                <w:szCs w:val="21"/>
              </w:rPr>
            </w:pPr>
            <w:r>
              <w:rPr>
                <w:b/>
                <w:bCs/>
                <w:sz w:val="19"/>
                <w:szCs w:val="19"/>
              </w:rPr>
              <w:t>TOPLAM</w:t>
            </w:r>
          </w:p>
        </w:tc>
        <w:tc>
          <w:tcPr>
            <w:tcW w:w="1400" w:type="dxa"/>
            <w:tcBorders>
              <w:top w:val="single" w:sz="6" w:space="0" w:color="A0B4C8"/>
              <w:left w:val="single" w:sz="6" w:space="0" w:color="A0B4C8"/>
              <w:bottom w:val="single" w:sz="6" w:space="0" w:color="A0B4C8"/>
              <w:right w:val="single" w:sz="6" w:space="0" w:color="A0B4C8"/>
            </w:tcBorders>
            <w:shd w:val="clear" w:color="auto" w:fill="D6E4F0"/>
            <w:tcMar>
              <w:top w:w="80" w:type="dxa"/>
              <w:left w:w="160" w:type="dxa"/>
              <w:bottom w:w="80" w:type="dxa"/>
              <w:right w:w="160" w:type="dxa"/>
            </w:tcMar>
          </w:tcPr>
          <w:p w:rsidR="00D06C72" w:rsidRDefault="00ED6E7F">
            <w:pPr>
              <w:spacing w:before="0" w:after="0" w:line="240" w:lineRule="auto"/>
              <w:ind w:firstLine="0"/>
              <w:jc w:val="center"/>
              <w:rPr>
                <w:sz w:val="21"/>
                <w:szCs w:val="21"/>
              </w:rPr>
            </w:pPr>
            <w:r>
              <w:rPr>
                <w:b/>
                <w:bCs/>
                <w:sz w:val="19"/>
                <w:szCs w:val="19"/>
              </w:rPr>
              <w:t>101</w:t>
            </w:r>
          </w:p>
        </w:tc>
        <w:tc>
          <w:tcPr>
            <w:tcW w:w="1200" w:type="dxa"/>
            <w:tcBorders>
              <w:top w:val="single" w:sz="6" w:space="0" w:color="A0B4C8"/>
              <w:left w:val="single" w:sz="6" w:space="0" w:color="A0B4C8"/>
              <w:bottom w:val="single" w:sz="6" w:space="0" w:color="A0B4C8"/>
              <w:right w:val="single" w:sz="6" w:space="0" w:color="A0B4C8"/>
            </w:tcBorders>
            <w:shd w:val="clear" w:color="auto" w:fill="D6E4F0"/>
            <w:tcMar>
              <w:top w:w="80" w:type="dxa"/>
              <w:left w:w="160" w:type="dxa"/>
              <w:bottom w:w="80" w:type="dxa"/>
              <w:right w:w="160" w:type="dxa"/>
            </w:tcMar>
          </w:tcPr>
          <w:p w:rsidR="00D06C72" w:rsidRDefault="00ED6E7F">
            <w:pPr>
              <w:spacing w:before="0" w:after="0" w:line="240" w:lineRule="auto"/>
              <w:ind w:firstLine="0"/>
              <w:jc w:val="center"/>
              <w:rPr>
                <w:sz w:val="21"/>
                <w:szCs w:val="21"/>
              </w:rPr>
            </w:pPr>
            <w:r>
              <w:rPr>
                <w:b/>
                <w:bCs/>
                <w:sz w:val="19"/>
                <w:szCs w:val="19"/>
              </w:rPr>
              <w:t>%100</w:t>
            </w:r>
          </w:p>
        </w:tc>
        <w:tc>
          <w:tcPr>
            <w:tcW w:w="5546" w:type="dxa"/>
            <w:tcBorders>
              <w:top w:val="single" w:sz="6" w:space="0" w:color="A0B4C8"/>
              <w:left w:val="single" w:sz="6" w:space="0" w:color="A0B4C8"/>
              <w:bottom w:val="single" w:sz="6" w:space="0" w:color="A0B4C8"/>
              <w:right w:val="single" w:sz="6" w:space="0" w:color="A0B4C8"/>
            </w:tcBorders>
            <w:shd w:val="clear" w:color="auto" w:fill="D6E4F0"/>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w:t>
            </w:r>
          </w:p>
        </w:tc>
      </w:tr>
    </w:tbl>
    <w:p w:rsidR="00D06C72" w:rsidRDefault="00D06C72">
      <w:pPr>
        <w:spacing w:before="80" w:after="0" w:line="240" w:lineRule="auto"/>
        <w:ind w:firstLine="0"/>
        <w:jc w:val="left"/>
        <w:rPr>
          <w:sz w:val="21"/>
          <w:szCs w:val="21"/>
        </w:rPr>
      </w:pPr>
    </w:p>
    <w:p w:rsidR="00D06C72" w:rsidRDefault="00ED6E7F">
      <w:pPr>
        <w:spacing w:before="40" w:after="100" w:line="240" w:lineRule="auto"/>
        <w:ind w:firstLine="0"/>
        <w:jc w:val="left"/>
        <w:rPr>
          <w:sz w:val="21"/>
          <w:szCs w:val="21"/>
        </w:rPr>
      </w:pPr>
      <w:r>
        <w:rPr>
          <w:b/>
          <w:bCs/>
        </w:rPr>
        <w:t>Tablo 3. Danışmana Göre Görüşme Dağılımı</w:t>
      </w:r>
    </w:p>
    <w:tbl>
      <w:tblPr>
        <w:tblStyle w:val="a1"/>
        <w:tblW w:w="97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1200"/>
        <w:gridCol w:w="900"/>
        <w:gridCol w:w="5246"/>
      </w:tblGrid>
      <w:tr w:rsidR="00D06C72">
        <w:trPr>
          <w:tblHeader/>
        </w:trPr>
        <w:tc>
          <w:tcPr>
            <w:tcW w:w="2400" w:type="dxa"/>
            <w:tcBorders>
              <w:top w:val="single" w:sz="6" w:space="0" w:color="A0B4C8"/>
              <w:left w:val="single" w:sz="6" w:space="0" w:color="A0B4C8"/>
              <w:bottom w:val="single" w:sz="6" w:space="0" w:color="A0B4C8"/>
              <w:right w:val="single" w:sz="6" w:space="0" w:color="A0B4C8"/>
            </w:tcBorders>
            <w:shd w:val="clear" w:color="auto" w:fill="1F4E79"/>
            <w:tcMar>
              <w:top w:w="100" w:type="dxa"/>
              <w:left w:w="160" w:type="dxa"/>
              <w:bottom w:w="100" w:type="dxa"/>
              <w:right w:w="160" w:type="dxa"/>
            </w:tcMar>
            <w:vAlign w:val="center"/>
          </w:tcPr>
          <w:p w:rsidR="00D06C72" w:rsidRDefault="00ED6E7F">
            <w:pPr>
              <w:spacing w:before="0" w:after="0" w:line="240" w:lineRule="auto"/>
              <w:ind w:firstLine="0"/>
              <w:jc w:val="left"/>
              <w:rPr>
                <w:sz w:val="21"/>
                <w:szCs w:val="21"/>
              </w:rPr>
            </w:pPr>
            <w:r>
              <w:rPr>
                <w:b/>
                <w:bCs/>
                <w:sz w:val="19"/>
                <w:szCs w:val="19"/>
              </w:rPr>
              <w:t>Danışman</w:t>
            </w:r>
          </w:p>
        </w:tc>
        <w:tc>
          <w:tcPr>
            <w:tcW w:w="1200" w:type="dxa"/>
            <w:tcBorders>
              <w:top w:val="single" w:sz="6" w:space="0" w:color="A0B4C8"/>
              <w:left w:val="single" w:sz="6" w:space="0" w:color="A0B4C8"/>
              <w:bottom w:val="single" w:sz="6" w:space="0" w:color="A0B4C8"/>
              <w:right w:val="single" w:sz="6" w:space="0" w:color="A0B4C8"/>
            </w:tcBorders>
            <w:shd w:val="clear" w:color="auto" w:fill="1F4E79"/>
            <w:tcMar>
              <w:top w:w="100" w:type="dxa"/>
              <w:left w:w="160" w:type="dxa"/>
              <w:bottom w:w="100" w:type="dxa"/>
              <w:right w:w="160" w:type="dxa"/>
            </w:tcMar>
            <w:vAlign w:val="center"/>
          </w:tcPr>
          <w:p w:rsidR="00D06C72" w:rsidRDefault="00ED6E7F">
            <w:pPr>
              <w:spacing w:before="0" w:after="0" w:line="240" w:lineRule="auto"/>
              <w:ind w:firstLine="0"/>
              <w:jc w:val="center"/>
              <w:rPr>
                <w:sz w:val="21"/>
                <w:szCs w:val="21"/>
              </w:rPr>
            </w:pPr>
            <w:r>
              <w:rPr>
                <w:b/>
                <w:bCs/>
                <w:sz w:val="19"/>
                <w:szCs w:val="19"/>
              </w:rPr>
              <w:t>Görüşme Sayısı</w:t>
            </w:r>
          </w:p>
        </w:tc>
        <w:tc>
          <w:tcPr>
            <w:tcW w:w="900" w:type="dxa"/>
            <w:tcBorders>
              <w:top w:val="single" w:sz="6" w:space="0" w:color="A0B4C8"/>
              <w:left w:val="single" w:sz="6" w:space="0" w:color="A0B4C8"/>
              <w:bottom w:val="single" w:sz="6" w:space="0" w:color="A0B4C8"/>
              <w:right w:val="single" w:sz="6" w:space="0" w:color="A0B4C8"/>
            </w:tcBorders>
            <w:shd w:val="clear" w:color="auto" w:fill="1F4E79"/>
            <w:tcMar>
              <w:top w:w="100" w:type="dxa"/>
              <w:left w:w="160" w:type="dxa"/>
              <w:bottom w:w="100" w:type="dxa"/>
              <w:right w:w="160" w:type="dxa"/>
            </w:tcMar>
            <w:vAlign w:val="center"/>
          </w:tcPr>
          <w:p w:rsidR="00D06C72" w:rsidRDefault="00ED6E7F">
            <w:pPr>
              <w:spacing w:before="0" w:after="0" w:line="240" w:lineRule="auto"/>
              <w:ind w:firstLine="0"/>
              <w:jc w:val="center"/>
              <w:rPr>
                <w:sz w:val="21"/>
                <w:szCs w:val="21"/>
              </w:rPr>
            </w:pPr>
            <w:r>
              <w:rPr>
                <w:b/>
                <w:bCs/>
                <w:sz w:val="19"/>
                <w:szCs w:val="19"/>
              </w:rPr>
              <w:t>Oran</w:t>
            </w:r>
          </w:p>
        </w:tc>
        <w:tc>
          <w:tcPr>
            <w:tcW w:w="5246" w:type="dxa"/>
            <w:tcBorders>
              <w:top w:val="single" w:sz="6" w:space="0" w:color="A0B4C8"/>
              <w:left w:val="single" w:sz="6" w:space="0" w:color="A0B4C8"/>
              <w:bottom w:val="single" w:sz="6" w:space="0" w:color="A0B4C8"/>
              <w:right w:val="single" w:sz="6" w:space="0" w:color="A0B4C8"/>
            </w:tcBorders>
            <w:shd w:val="clear" w:color="auto" w:fill="1F4E79"/>
            <w:tcMar>
              <w:top w:w="100" w:type="dxa"/>
              <w:left w:w="160" w:type="dxa"/>
              <w:bottom w:w="100" w:type="dxa"/>
              <w:right w:w="160" w:type="dxa"/>
            </w:tcMar>
            <w:vAlign w:val="center"/>
          </w:tcPr>
          <w:p w:rsidR="00D06C72" w:rsidRDefault="00ED6E7F">
            <w:pPr>
              <w:spacing w:before="0" w:after="0" w:line="240" w:lineRule="auto"/>
              <w:ind w:firstLine="0"/>
              <w:jc w:val="left"/>
              <w:rPr>
                <w:sz w:val="21"/>
                <w:szCs w:val="21"/>
              </w:rPr>
            </w:pPr>
            <w:r>
              <w:rPr>
                <w:b/>
                <w:bCs/>
                <w:sz w:val="19"/>
                <w:szCs w:val="19"/>
              </w:rPr>
              <w:t>Ağırlıklı Konu Alanları</w:t>
            </w:r>
          </w:p>
        </w:tc>
      </w:tr>
      <w:tr w:rsidR="00D06C72">
        <w:tc>
          <w:tcPr>
            <w:tcW w:w="2400"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Prof. Dr. Salih Dursun</w:t>
            </w:r>
          </w:p>
        </w:tc>
        <w:tc>
          <w:tcPr>
            <w:tcW w:w="1200"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29</w:t>
            </w:r>
          </w:p>
        </w:tc>
        <w:tc>
          <w:tcPr>
            <w:tcW w:w="900"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%30</w:t>
            </w:r>
          </w:p>
        </w:tc>
        <w:tc>
          <w:tcPr>
            <w:tcW w:w="5246"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Akademik durum değerlendirmesi, kariyer planlaması, KPSS</w:t>
            </w:r>
          </w:p>
        </w:tc>
      </w:tr>
      <w:tr w:rsidR="00D06C72">
        <w:tc>
          <w:tcPr>
            <w:tcW w:w="2400"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Doç. Dr. Mustafa Şen</w:t>
            </w:r>
          </w:p>
        </w:tc>
        <w:tc>
          <w:tcPr>
            <w:tcW w:w="1200"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24</w:t>
            </w:r>
          </w:p>
        </w:tc>
        <w:tc>
          <w:tcPr>
            <w:tcW w:w="900"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%24</w:t>
            </w:r>
          </w:p>
        </w:tc>
        <w:tc>
          <w:tcPr>
            <w:tcW w:w="5246"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 xml:space="preserve">Mezuniyet sonrası görüşme, staj, </w:t>
            </w:r>
            <w:proofErr w:type="spellStart"/>
            <w:r>
              <w:rPr>
                <w:i/>
                <w:iCs/>
                <w:sz w:val="19"/>
                <w:szCs w:val="19"/>
              </w:rPr>
              <w:t>Erasmus</w:t>
            </w:r>
            <w:proofErr w:type="spellEnd"/>
          </w:p>
        </w:tc>
      </w:tr>
      <w:tr w:rsidR="00D06C72">
        <w:tc>
          <w:tcPr>
            <w:tcW w:w="2400"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Doç. Dr. Burçin Eser</w:t>
            </w:r>
          </w:p>
        </w:tc>
        <w:tc>
          <w:tcPr>
            <w:tcW w:w="1200"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16</w:t>
            </w:r>
          </w:p>
        </w:tc>
        <w:tc>
          <w:tcPr>
            <w:tcW w:w="900"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%16</w:t>
            </w:r>
          </w:p>
        </w:tc>
        <w:tc>
          <w:tcPr>
            <w:tcW w:w="5246"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Dönemlik genel değerlendirme, kariyer planlaması</w:t>
            </w:r>
          </w:p>
        </w:tc>
      </w:tr>
      <w:tr w:rsidR="00D06C72">
        <w:tc>
          <w:tcPr>
            <w:tcW w:w="2400"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 xml:space="preserve">Dr. </w:t>
            </w:r>
            <w:proofErr w:type="spellStart"/>
            <w:r>
              <w:rPr>
                <w:sz w:val="19"/>
                <w:szCs w:val="19"/>
              </w:rPr>
              <w:t>Öğr</w:t>
            </w:r>
            <w:proofErr w:type="spellEnd"/>
            <w:r>
              <w:rPr>
                <w:sz w:val="19"/>
                <w:szCs w:val="19"/>
              </w:rPr>
              <w:t>. Üyesi Yusuf Erdem Tunç</w:t>
            </w:r>
          </w:p>
        </w:tc>
        <w:tc>
          <w:tcPr>
            <w:tcW w:w="1200"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13</w:t>
            </w:r>
          </w:p>
        </w:tc>
        <w:tc>
          <w:tcPr>
            <w:tcW w:w="900"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%13</w:t>
            </w:r>
          </w:p>
        </w:tc>
        <w:tc>
          <w:tcPr>
            <w:tcW w:w="5246"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Bitirme tezi, KPSS, öğrenme yöntemleri</w:t>
            </w:r>
          </w:p>
        </w:tc>
      </w:tr>
      <w:tr w:rsidR="00D06C72">
        <w:tc>
          <w:tcPr>
            <w:tcW w:w="2400"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Prof. Dr. Güven Murat</w:t>
            </w:r>
          </w:p>
        </w:tc>
        <w:tc>
          <w:tcPr>
            <w:tcW w:w="1200"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9</w:t>
            </w:r>
          </w:p>
        </w:tc>
        <w:tc>
          <w:tcPr>
            <w:tcW w:w="900"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%9</w:t>
            </w:r>
          </w:p>
        </w:tc>
        <w:tc>
          <w:tcPr>
            <w:tcW w:w="5246" w:type="dxa"/>
            <w:tcBorders>
              <w:top w:val="single" w:sz="6" w:space="0" w:color="A0B4C8"/>
              <w:left w:val="single" w:sz="6" w:space="0" w:color="A0B4C8"/>
              <w:bottom w:val="single" w:sz="6" w:space="0" w:color="A0B4C8"/>
              <w:right w:val="single" w:sz="6" w:space="0" w:color="A0B4C8"/>
            </w:tcBorders>
            <w:shd w:val="clear" w:color="auto" w:fill="EBF3FB"/>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Kariyer bilgilendirme, akademisyenlik, öğrenme</w:t>
            </w:r>
          </w:p>
        </w:tc>
      </w:tr>
      <w:tr w:rsidR="00D06C72">
        <w:tc>
          <w:tcPr>
            <w:tcW w:w="2400"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Prof. Dr. Cemalettin Kalaycı</w:t>
            </w:r>
          </w:p>
        </w:tc>
        <w:tc>
          <w:tcPr>
            <w:tcW w:w="1200"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7</w:t>
            </w:r>
          </w:p>
        </w:tc>
        <w:tc>
          <w:tcPr>
            <w:tcW w:w="900"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center"/>
              <w:rPr>
                <w:sz w:val="21"/>
                <w:szCs w:val="21"/>
              </w:rPr>
            </w:pPr>
            <w:r>
              <w:rPr>
                <w:sz w:val="19"/>
                <w:szCs w:val="19"/>
              </w:rPr>
              <w:t>%7</w:t>
            </w:r>
          </w:p>
        </w:tc>
        <w:tc>
          <w:tcPr>
            <w:tcW w:w="5246" w:type="dxa"/>
            <w:tcBorders>
              <w:top w:val="single" w:sz="6" w:space="0" w:color="A0B4C8"/>
              <w:left w:val="single" w:sz="6" w:space="0" w:color="A0B4C8"/>
              <w:bottom w:val="single" w:sz="6" w:space="0" w:color="A0B4C8"/>
              <w:right w:val="single" w:sz="6" w:space="0" w:color="A0B4C8"/>
            </w:tcBorders>
            <w:shd w:val="clear" w:color="auto" w:fill="FFFFFF"/>
            <w:tcMar>
              <w:top w:w="80" w:type="dxa"/>
              <w:left w:w="160" w:type="dxa"/>
              <w:bottom w:w="80" w:type="dxa"/>
              <w:right w:w="160" w:type="dxa"/>
            </w:tcMar>
          </w:tcPr>
          <w:p w:rsidR="00D06C72" w:rsidRDefault="00ED6E7F">
            <w:pPr>
              <w:spacing w:before="0" w:after="0" w:line="240" w:lineRule="auto"/>
              <w:ind w:firstLine="0"/>
              <w:jc w:val="left"/>
              <w:rPr>
                <w:sz w:val="21"/>
                <w:szCs w:val="21"/>
              </w:rPr>
            </w:pPr>
            <w:r>
              <w:rPr>
                <w:i/>
                <w:iCs/>
                <w:sz w:val="19"/>
                <w:szCs w:val="19"/>
              </w:rPr>
              <w:t xml:space="preserve">BYS, akademik durum, </w:t>
            </w:r>
            <w:proofErr w:type="spellStart"/>
            <w:r>
              <w:rPr>
                <w:i/>
                <w:iCs/>
                <w:sz w:val="19"/>
                <w:szCs w:val="19"/>
              </w:rPr>
              <w:t>Erasmus</w:t>
            </w:r>
            <w:proofErr w:type="spellEnd"/>
            <w:r>
              <w:rPr>
                <w:i/>
                <w:iCs/>
                <w:sz w:val="19"/>
                <w:szCs w:val="19"/>
              </w:rPr>
              <w:t>, kariyer</w:t>
            </w:r>
          </w:p>
        </w:tc>
      </w:tr>
      <w:tr w:rsidR="00D06C72">
        <w:tc>
          <w:tcPr>
            <w:tcW w:w="2400" w:type="dxa"/>
            <w:tcBorders>
              <w:top w:val="single" w:sz="6" w:space="0" w:color="A0B4C8"/>
              <w:left w:val="single" w:sz="6" w:space="0" w:color="A0B4C8"/>
              <w:bottom w:val="single" w:sz="6" w:space="0" w:color="A0B4C8"/>
              <w:right w:val="single" w:sz="6" w:space="0" w:color="A0B4C8"/>
            </w:tcBorders>
            <w:shd w:val="clear" w:color="auto" w:fill="D6E4F0"/>
            <w:tcMar>
              <w:top w:w="80" w:type="dxa"/>
              <w:left w:w="160" w:type="dxa"/>
              <w:bottom w:w="80" w:type="dxa"/>
              <w:right w:w="160" w:type="dxa"/>
            </w:tcMar>
          </w:tcPr>
          <w:p w:rsidR="00D06C72" w:rsidRDefault="00ED6E7F">
            <w:pPr>
              <w:spacing w:before="0" w:after="0" w:line="240" w:lineRule="auto"/>
              <w:ind w:firstLine="0"/>
              <w:jc w:val="left"/>
              <w:rPr>
                <w:sz w:val="21"/>
                <w:szCs w:val="21"/>
              </w:rPr>
            </w:pPr>
            <w:r>
              <w:rPr>
                <w:b/>
                <w:bCs/>
                <w:sz w:val="19"/>
                <w:szCs w:val="19"/>
              </w:rPr>
              <w:t>TOPLAM</w:t>
            </w:r>
          </w:p>
        </w:tc>
        <w:tc>
          <w:tcPr>
            <w:tcW w:w="1200" w:type="dxa"/>
            <w:tcBorders>
              <w:top w:val="single" w:sz="6" w:space="0" w:color="A0B4C8"/>
              <w:left w:val="single" w:sz="6" w:space="0" w:color="A0B4C8"/>
              <w:bottom w:val="single" w:sz="6" w:space="0" w:color="A0B4C8"/>
              <w:right w:val="single" w:sz="6" w:space="0" w:color="A0B4C8"/>
            </w:tcBorders>
            <w:shd w:val="clear" w:color="auto" w:fill="D6E4F0"/>
            <w:tcMar>
              <w:top w:w="80" w:type="dxa"/>
              <w:left w:w="160" w:type="dxa"/>
              <w:bottom w:w="80" w:type="dxa"/>
              <w:right w:w="160" w:type="dxa"/>
            </w:tcMar>
          </w:tcPr>
          <w:p w:rsidR="00D06C72" w:rsidRDefault="00ED6E7F">
            <w:pPr>
              <w:spacing w:before="0" w:after="0" w:line="240" w:lineRule="auto"/>
              <w:ind w:firstLine="0"/>
              <w:jc w:val="center"/>
              <w:rPr>
                <w:sz w:val="21"/>
                <w:szCs w:val="21"/>
              </w:rPr>
            </w:pPr>
            <w:r>
              <w:rPr>
                <w:b/>
                <w:bCs/>
                <w:sz w:val="19"/>
                <w:szCs w:val="19"/>
              </w:rPr>
              <w:t>101</w:t>
            </w:r>
          </w:p>
        </w:tc>
        <w:tc>
          <w:tcPr>
            <w:tcW w:w="900" w:type="dxa"/>
            <w:tcBorders>
              <w:top w:val="single" w:sz="6" w:space="0" w:color="A0B4C8"/>
              <w:left w:val="single" w:sz="6" w:space="0" w:color="A0B4C8"/>
              <w:bottom w:val="single" w:sz="6" w:space="0" w:color="A0B4C8"/>
              <w:right w:val="single" w:sz="6" w:space="0" w:color="A0B4C8"/>
            </w:tcBorders>
            <w:shd w:val="clear" w:color="auto" w:fill="D6E4F0"/>
            <w:tcMar>
              <w:top w:w="80" w:type="dxa"/>
              <w:left w:w="160" w:type="dxa"/>
              <w:bottom w:w="80" w:type="dxa"/>
              <w:right w:w="160" w:type="dxa"/>
            </w:tcMar>
          </w:tcPr>
          <w:p w:rsidR="00D06C72" w:rsidRDefault="00ED6E7F">
            <w:pPr>
              <w:spacing w:before="0" w:after="0" w:line="240" w:lineRule="auto"/>
              <w:ind w:firstLine="0"/>
              <w:jc w:val="center"/>
              <w:rPr>
                <w:sz w:val="21"/>
                <w:szCs w:val="21"/>
              </w:rPr>
            </w:pPr>
            <w:r>
              <w:rPr>
                <w:b/>
                <w:bCs/>
                <w:sz w:val="19"/>
                <w:szCs w:val="19"/>
              </w:rPr>
              <w:t>%100</w:t>
            </w:r>
          </w:p>
        </w:tc>
        <w:tc>
          <w:tcPr>
            <w:tcW w:w="5246" w:type="dxa"/>
            <w:tcBorders>
              <w:top w:val="single" w:sz="6" w:space="0" w:color="A0B4C8"/>
              <w:left w:val="single" w:sz="6" w:space="0" w:color="A0B4C8"/>
              <w:bottom w:val="single" w:sz="6" w:space="0" w:color="A0B4C8"/>
              <w:right w:val="single" w:sz="6" w:space="0" w:color="A0B4C8"/>
            </w:tcBorders>
            <w:shd w:val="clear" w:color="auto" w:fill="D6E4F0"/>
            <w:tcMar>
              <w:top w:w="80" w:type="dxa"/>
              <w:left w:w="160" w:type="dxa"/>
              <w:bottom w:w="80" w:type="dxa"/>
              <w:right w:w="160" w:type="dxa"/>
            </w:tcMar>
          </w:tcPr>
          <w:p w:rsidR="00D06C72" w:rsidRDefault="00ED6E7F">
            <w:pPr>
              <w:spacing w:before="0" w:after="0" w:line="240" w:lineRule="auto"/>
              <w:ind w:firstLine="0"/>
              <w:jc w:val="left"/>
              <w:rPr>
                <w:sz w:val="21"/>
                <w:szCs w:val="21"/>
              </w:rPr>
            </w:pPr>
            <w:r>
              <w:rPr>
                <w:sz w:val="19"/>
                <w:szCs w:val="19"/>
              </w:rPr>
              <w:t>—</w:t>
            </w:r>
          </w:p>
        </w:tc>
      </w:tr>
    </w:tbl>
    <w:p w:rsidR="00D06C72" w:rsidRDefault="00ED6E7F">
      <w:r>
        <w:t>Görüşmeleri yürüten altı danışman arasındaki yük dağılımı incelendiğinde belirgin bir dengesizlik dikkat çekmektedir: Salih Dursun 29, Mustafa Şen 24, Burçin Eser 16, Yusuf Erdem Tunç 13, Güven Murat 9 ve Cemalettin Kalaycı 7 görüşme gerçekleştirmiştir. Sö</w:t>
      </w:r>
      <w:r>
        <w:t xml:space="preserve">z konusu dağılımın yapısal bir eşitsizliği mi, danışman başına düşen öğrenci sayısındaki farklılığı mı ya da görüşme kaydına yönelik </w:t>
      </w:r>
      <w:proofErr w:type="spellStart"/>
      <w:r>
        <w:t>tutumsal</w:t>
      </w:r>
      <w:proofErr w:type="spellEnd"/>
      <w:r>
        <w:t xml:space="preserve"> farklılıkları mı yansıttığı, mevcut veri ile kesin biçimde belirlenememektedir. Bu belirsizlik, görüşme kayıt sist</w:t>
      </w:r>
      <w:r>
        <w:t>eminin standartlaştırılmasının önemine işaret etmektedir.</w:t>
      </w:r>
    </w:p>
    <w:p w:rsidR="00D06C72" w:rsidRDefault="00ED6E7F">
      <w:r>
        <w:t>Sınıf düzeyi bazında bakıldığında 3. sınıf öğrencileri en yüksek görüşme sayısıyla öne çıkmaktadır (38 görüşme, %39). Bunu 2. sınıf (30 görüşme, %31), 4. sınıf (20 görüşme, %20) ve 1. sınıf (10 görüşme, %10) izlemektedir. Bu dağılım, akademik ve kariyer ka</w:t>
      </w:r>
      <w:r>
        <w:t xml:space="preserve">ygılarının özellikle 3. sınıf </w:t>
      </w:r>
      <w:r>
        <w:lastRenderedPageBreak/>
        <w:t>itibarıyla yoğunlaştığına; nitekim kariyer kararlarının somutlaşmasına yakın bir aşamada olan öğrencilerin danışmanlık sistemine daha fazla başvurduğuna işaret etmektedir.</w:t>
      </w:r>
    </w:p>
    <w:p w:rsidR="00D06C72" w:rsidRDefault="00ED6E7F">
      <w:pPr>
        <w:pStyle w:val="Balk2"/>
      </w:pPr>
      <w:r>
        <w:t>2.2. Öne Çıkan Danışmanlık İhtiyaçları</w:t>
      </w:r>
    </w:p>
    <w:p w:rsidR="00D06C72" w:rsidRDefault="00ED6E7F">
      <w:r>
        <w:t>Görüşmelerin iç</w:t>
      </w:r>
      <w:r>
        <w:t xml:space="preserve">erik analizi, bölüm öğrencilerinin danışmanlık ihtiyaçlarının iki temel eksende yoğunlaştığını ortaya koymaktadır: </w:t>
      </w:r>
      <w:r w:rsidRPr="00531116">
        <w:rPr>
          <w:i/>
        </w:rPr>
        <w:t>kariyer yönelimi ve akademik destek</w:t>
      </w:r>
      <w:r>
        <w:t>. Kariyer yönelimi ekseninde mezuniyet sonrası meslek belirsizliği, KPSS hazırlığı ve staj süreci öne çıka</w:t>
      </w:r>
      <w:r>
        <w:t>rken; akademik destek ekseninde sayısal derslerdeki güçlükler, bitirme tezi süreci ve öğrenme stratejilerine duyulan ihtiyaç belirleyici temalar olarak şekillenmektedir.</w:t>
      </w:r>
    </w:p>
    <w:p w:rsidR="00D06C72" w:rsidRDefault="00ED6E7F">
      <w:r>
        <w:t>Bu iki eksen birbiriyle iç içe geçmiş bir yapı sergilemektedir. Nitekim kariyer belirs</w:t>
      </w:r>
      <w:r>
        <w:t xml:space="preserve">izliği yaşayan öğrencilerin aynı zamanda akademik performans kaygısı taşıdığı; </w:t>
      </w:r>
      <w:proofErr w:type="spellStart"/>
      <w:r>
        <w:t>KPSS'ye</w:t>
      </w:r>
      <w:proofErr w:type="spellEnd"/>
      <w:r>
        <w:t xml:space="preserve"> hazırlanan öğrencilerin çalışma stratejilerine ilişkin yönlendirme aradığı görüşme kayıtlarına yansımaktadır. Bu bütüncül görünüm, danışmanlık sürecinin salt bilgi aktar</w:t>
      </w:r>
      <w:r>
        <w:t>ımının ötesinde; öğrencilerin hem akademik hem de mesleki gelişim süreçlerini destekleyen çok boyutlu bir yapıya kavuşturulmasının önemini ortaya koymaktadır.</w:t>
      </w:r>
    </w:p>
    <w:p w:rsidR="00D06C72" w:rsidRDefault="00ED6E7F">
      <w:pPr>
        <w:pStyle w:val="Balk2"/>
      </w:pPr>
      <w:r>
        <w:t>2.3. Dikkat Çekici Örüntüler</w:t>
      </w:r>
    </w:p>
    <w:p w:rsidR="00D06C72" w:rsidRDefault="00ED6E7F">
      <w:r>
        <w:t>Veriden elde edilen bulgular arasında dikkat çeken örüntülerin başın</w:t>
      </w:r>
      <w:r>
        <w:t xml:space="preserve">da, </w:t>
      </w:r>
      <w:proofErr w:type="spellStart"/>
      <w:r>
        <w:t>Erasmus</w:t>
      </w:r>
      <w:proofErr w:type="spellEnd"/>
      <w:r>
        <w:t xml:space="preserve"> ilgisi ile fiili katılım arasındaki derin uçurum gelmektedir. Programla ilgilenen öğrencilerin büyük bölümü dil engeli, mali kaygı ve akademik risk nedeniyle başvurudan kaçınmaktadır; bu durum, yalnızca bireysel tercihlere bırakılmış bir yönlen</w:t>
      </w:r>
      <w:r>
        <w:t xml:space="preserve">dirme anlayışının söz konusu engelleri aşmada yetersiz kaldığını düşündürmektedir. Oysaki yabancı dil eğitiminin güçlendirilmesi ve </w:t>
      </w:r>
      <w:proofErr w:type="spellStart"/>
      <w:r>
        <w:t>Erasmus</w:t>
      </w:r>
      <w:proofErr w:type="spellEnd"/>
      <w:r>
        <w:t xml:space="preserve"> süreçlerine ilişkin daha erişilebilir bir bilgilendirme altyapısının oluşturulması, bu engeli kısmen aşılabilir kıla</w:t>
      </w:r>
      <w:r>
        <w:t>bilecektir.</w:t>
      </w:r>
    </w:p>
    <w:p w:rsidR="00D06C72" w:rsidRDefault="00ED6E7F">
      <w:r>
        <w:t>Bir diğer dikkat çekici örüntü, müfredata yönelik yapısal geri bildirimlerin birbirinden bağımsız görüşmelerde tekrar etmesidir. Bilgisayarlı muhasebe, ofis programları, finansal okuryazarlık ve KPSS odaklı içeriklere yönelik talepler; farklı d</w:t>
      </w:r>
      <w:r>
        <w:t>anışmanlar, farklı sınıf düzeyleri ve farklı dönemlerden öğrencilerin görüşmelerinde tutarlı biçimde yer almaktadır. Bu tekrarlayan örüntü, söz konusu taleplerin geçici ya da bireysel olmayıp bölüm genelinde paylaşılan beklentilere karşılık geldiğini düşün</w:t>
      </w:r>
      <w:r>
        <w:t>dürmektedir.</w:t>
      </w:r>
    </w:p>
    <w:p w:rsidR="00D06C72" w:rsidRDefault="00ED6E7F">
      <w:r>
        <w:t>Öte yandan veri setinde bazı eksikliklerin de bulunduğu belirtilmelidir. Birkaç görüşmede "Öneri/Çözüm/Yardım" sütununun boş bırakıldığı ya da yalnızca "bilgi verildi" düzeyinde ifadeler içerdiği görülmektedir. Bu durum, ilgili görüşmelerin da</w:t>
      </w:r>
      <w:r>
        <w:t>nışmanlık çıktıları bakımından değerlendirilmesini kısıtlamaktadır. Görüşme kaydının daha ayrıntılı ve standart bir biçimde tutulması, sonraki dönem analizlerinin kalitesini anlamlı ölçüde artırabilecektir.</w:t>
      </w:r>
    </w:p>
    <w:p w:rsidR="00D06C72" w:rsidRDefault="00ED6E7F">
      <w:pPr>
        <w:pStyle w:val="Balk2"/>
      </w:pPr>
      <w:r>
        <w:lastRenderedPageBreak/>
        <w:t>2.4. Öneriler</w:t>
      </w:r>
    </w:p>
    <w:p w:rsidR="00D06C72" w:rsidRDefault="00ED6E7F">
      <w:r>
        <w:t xml:space="preserve">Söz konusu bulgular ışığında </w:t>
      </w:r>
      <w:r w:rsidRPr="00531116">
        <w:rPr>
          <w:i/>
        </w:rPr>
        <w:t>dört s</w:t>
      </w:r>
      <w:r w:rsidRPr="00531116">
        <w:rPr>
          <w:i/>
        </w:rPr>
        <w:t>omut öneri</w:t>
      </w:r>
      <w:r>
        <w:t xml:space="preserve"> geliştirilebilecektir.</w:t>
      </w:r>
    </w:p>
    <w:p w:rsidR="00D06C72" w:rsidRDefault="00ED6E7F">
      <w:r>
        <w:t>Birinci öneri, staj sürecinin kurumsal düzeyde güçlendirilmesidir. Öğrencilerin staj sigortası sorunu ve yeterli kurumsal iş birliği eksikliği, veri setinde yapısal bir engel olarak birden fazla görüşmede yer almaktadır. B</w:t>
      </w:r>
      <w:r>
        <w:t>u sorunun yalnızca bireysel danışmanlık düzeyinde çözülmesinin mümkün olmadığı anlaşılmakta; ilgili birimlerin devreye alınması ve kurum-firma iş birliği protokollerinin geliştirilmesi gerekmektedir.</w:t>
      </w:r>
    </w:p>
    <w:p w:rsidR="00D06C72" w:rsidRDefault="00ED6E7F">
      <w:r>
        <w:t>İkinci öneri, müfredatın uygulamalı bileşenler açısından</w:t>
      </w:r>
      <w:r>
        <w:t xml:space="preserve"> güçlendirilmesidir. Bilgisayarlı muhasebe, ofis programları eğitimi ve finansal okuryazarlık gibi alanlara yönelik tekrar eden öğrenci talepleri, bu konuların müfredat geliştirme sürecinde öncelikli biçimde ele alınmasının yerinde olacağına işaret etmekte</w:t>
      </w:r>
      <w:r>
        <w:t xml:space="preserve">dir. Söz konusu içeriklerin müfredata seçmeli ders ya da </w:t>
      </w:r>
      <w:proofErr w:type="gramStart"/>
      <w:r>
        <w:t>online</w:t>
      </w:r>
      <w:proofErr w:type="gramEnd"/>
      <w:r>
        <w:t xml:space="preserve"> eğitim imkanları biçiminde eklenmesi, öğrencilerin iş hayatına hazırlık düzeyini artırabilecektir.</w:t>
      </w:r>
    </w:p>
    <w:p w:rsidR="00D06C72" w:rsidRDefault="00ED6E7F">
      <w:r>
        <w:t>Üçüncü öneri, KPSS ve kariyer hazırlığına yönelik bölüm düzeyinde destek mekanizmalarının olu</w:t>
      </w:r>
      <w:r>
        <w:t xml:space="preserve">şturulmasıdır. </w:t>
      </w:r>
      <w:proofErr w:type="spellStart"/>
      <w:r>
        <w:t>KPSS'nin</w:t>
      </w:r>
      <w:proofErr w:type="spellEnd"/>
      <w:r>
        <w:t xml:space="preserve"> bölüm öğrencileri arasındaki yaygın kariyer hedefi olduğu göz önünde bulundurulduğunda, bölüm tarafından düzenlenecek bilgilendirme toplantılarının bireysel danışmanlık süreçlerini anlamlı biçimde tamamlayabileceği değerlendirilmekt</w:t>
      </w:r>
      <w:r>
        <w:t>edir. Bu kapsamda mezun izleme verileri ve sektör temsilcileriyle gerçekleştirilecek kariyer günleri de öğrencilerin mesleki yönelim süreçlerine katkı sağlayabilecektir.</w:t>
      </w:r>
    </w:p>
    <w:p w:rsidR="00D06C72" w:rsidRDefault="00ED6E7F">
      <w:r>
        <w:t>Dördüncü öneri, Danışman görüşmelerinin kariyer rehberliği bileşenini de kapsayacak bi</w:t>
      </w:r>
      <w:r>
        <w:t>çimde genişletilmesi gerekmektedir. Bu doğrultuda bölüm düzeyinde standart bir kariyer görüşmesi çerçevesi oluşturulması; mezuniyet sonrası hedefler, sektör tercihleri ve bu tercihlere yönelik gelişim adımlarının danışman görüşmelerinde müzakere edilmesi y</w:t>
      </w:r>
      <w:r>
        <w:t>ararlı olabilecektir.</w:t>
      </w:r>
    </w:p>
    <w:p w:rsidR="00D06C72" w:rsidRDefault="00ED6E7F">
      <w:pPr>
        <w:pStyle w:val="Balk1"/>
      </w:pPr>
      <w:r>
        <w:t>SONUÇ</w:t>
      </w:r>
    </w:p>
    <w:p w:rsidR="00D06C72" w:rsidRDefault="00ED6E7F">
      <w:r>
        <w:t>Bu raporda sunulan bulgular, bölüm öğrenci kitlesinin danışmanlık ihtiyaçlarının çok boyutlu ve birbiriyle bağlantılı bir yapı sergilediğini ortaya koymaktadır. Kariyer belirsizliği, KPSS yönelimi ve staj sürecindeki güçlükler; sayısal derslerdeki akademik</w:t>
      </w:r>
      <w:r>
        <w:t xml:space="preserve"> sorunlar, </w:t>
      </w:r>
      <w:proofErr w:type="spellStart"/>
      <w:r>
        <w:t>Erasmus</w:t>
      </w:r>
      <w:proofErr w:type="spellEnd"/>
      <w:r>
        <w:t xml:space="preserve"> engelleri ve müfredatın uygulamalı boyutuna ilişkin beklentilerle iç içe geçerek </w:t>
      </w:r>
      <w:proofErr w:type="gramStart"/>
      <w:r>
        <w:t>kümülatif</w:t>
      </w:r>
      <w:proofErr w:type="gramEnd"/>
      <w:r>
        <w:t xml:space="preserve"> bir ihtiyaç profili oluşturmaktadır. Bu </w:t>
      </w:r>
      <w:proofErr w:type="gramStart"/>
      <w:r>
        <w:t>profilin</w:t>
      </w:r>
      <w:proofErr w:type="gramEnd"/>
      <w:r>
        <w:t xml:space="preserve"> anlaşılması, danışmanlık sisteminin bireysel görüşmelerin ötesine taşınarak kurumsal bir öğrenme </w:t>
      </w:r>
      <w:r>
        <w:t>ve iyileştirme mekanizmasına dönüştürülmesi bakımından zorunlu bir ön koşul niteliği taşımaktadır.</w:t>
      </w:r>
    </w:p>
    <w:p w:rsidR="00D06C72" w:rsidRDefault="00ED6E7F">
      <w:r>
        <w:t>Nitekim verideki örüntüler göstermektedir ki, öğrencilerin dile getirdiği pek çok sorun yalnızca danışmanlık görüşmelerinde ele alınacak bireysel meseleler o</w:t>
      </w:r>
      <w:r>
        <w:t xml:space="preserve">lmayıp bölüm politikasını ilgilendiren yapısal konulardır. Bu nedenle görüşme verilerinin düzenli aralıklarla derlenmesi, analiz </w:t>
      </w:r>
      <w:r>
        <w:lastRenderedPageBreak/>
        <w:t>edilmesi ve bölüm yönetimiyle paylaşılması; kanıta dayalı bir müfredat ve hizmet geliştirme sürecinin kurulması açısından yarar</w:t>
      </w:r>
      <w:r>
        <w:t>lı olacaktır.</w:t>
      </w:r>
    </w:p>
    <w:sectPr w:rsidR="00D06C7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6E7F" w:rsidRDefault="00ED6E7F">
      <w:pPr>
        <w:spacing w:before="0" w:after="0" w:line="240" w:lineRule="auto"/>
      </w:pPr>
      <w:r>
        <w:separator/>
      </w:r>
    </w:p>
  </w:endnote>
  <w:endnote w:type="continuationSeparator" w:id="0">
    <w:p w:rsidR="00ED6E7F" w:rsidRDefault="00ED6E7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0152AA2A-BFB9-4131-892C-6CA3F07F2FC5}"/>
  </w:font>
  <w:font w:name="Calibri">
    <w:panose1 w:val="020F0502020204030204"/>
    <w:charset w:val="A2"/>
    <w:family w:val="swiss"/>
    <w:pitch w:val="variable"/>
    <w:sig w:usb0="E4002EFF" w:usb1="C200247B" w:usb2="00000009" w:usb3="00000000" w:csb0="000001FF" w:csb1="00000000"/>
    <w:embedRegular r:id="rId2" w:fontKey="{144FF18D-EA48-456A-8BD2-44F33DA52A99}"/>
  </w:font>
  <w:font w:name="Cambria">
    <w:panose1 w:val="02040503050406030204"/>
    <w:charset w:val="A2"/>
    <w:family w:val="roman"/>
    <w:pitch w:val="variable"/>
    <w:sig w:usb0="E00006FF" w:usb1="420024FF" w:usb2="02000000" w:usb3="00000000" w:csb0="0000019F" w:csb1="00000000"/>
    <w:embedRegular r:id="rId3" w:fontKey="{974142B8-55E5-455E-B49F-857306C2734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C72" w:rsidRDefault="00D06C72">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C72" w:rsidRDefault="00ED6E7F">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sidR="00C06876">
      <w:rPr>
        <w:color w:val="000000"/>
      </w:rPr>
      <w:fldChar w:fldCharType="separate"/>
    </w:r>
    <w:r w:rsidR="00423406">
      <w:rPr>
        <w:noProof/>
        <w:color w:val="000000"/>
      </w:rPr>
      <w:t>10</w:t>
    </w:r>
    <w:r>
      <w:rPr>
        <w:color w:val="000000"/>
      </w:rPr>
      <w:fldChar w:fldCharType="end"/>
    </w:r>
  </w:p>
  <w:p w:rsidR="00D06C72" w:rsidRDefault="00D06C72">
    <w:pPr>
      <w:pBdr>
        <w:top w:val="nil"/>
        <w:left w:val="nil"/>
        <w:bottom w:val="nil"/>
        <w:right w:val="nil"/>
        <w:between w:val="nil"/>
      </w:pBdr>
      <w:tabs>
        <w:tab w:val="center" w:pos="4536"/>
        <w:tab w:val="right" w:pos="9072"/>
      </w:tabs>
      <w:ind w:firstLine="0"/>
      <w:jc w:val="center"/>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C72" w:rsidRDefault="00D06C72">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6E7F" w:rsidRDefault="00ED6E7F">
      <w:pPr>
        <w:spacing w:before="0" w:after="0" w:line="240" w:lineRule="auto"/>
      </w:pPr>
      <w:r>
        <w:separator/>
      </w:r>
    </w:p>
  </w:footnote>
  <w:footnote w:type="continuationSeparator" w:id="0">
    <w:p w:rsidR="00ED6E7F" w:rsidRDefault="00ED6E7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C72" w:rsidRDefault="00D06C72">
    <w:pPr>
      <w:pBdr>
        <w:top w:val="nil"/>
        <w:left w:val="nil"/>
        <w:bottom w:val="nil"/>
        <w:right w:val="nil"/>
        <w:between w:val="nil"/>
      </w:pBdr>
      <w:tabs>
        <w:tab w:val="center" w:pos="4536"/>
        <w:tab w:val="right" w:pos="9072"/>
      </w:tabs>
      <w:spacing w:before="0"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C72" w:rsidRDefault="00D06C72">
    <w:pPr>
      <w:pBdr>
        <w:top w:val="nil"/>
        <w:left w:val="nil"/>
        <w:bottom w:val="nil"/>
        <w:right w:val="nil"/>
        <w:between w:val="nil"/>
      </w:pBdr>
      <w:tabs>
        <w:tab w:val="center" w:pos="4536"/>
        <w:tab w:val="right" w:pos="9072"/>
      </w:tabs>
      <w:spacing w:before="0"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C72" w:rsidRDefault="00D06C72">
    <w:pPr>
      <w:pBdr>
        <w:top w:val="nil"/>
        <w:left w:val="nil"/>
        <w:bottom w:val="nil"/>
        <w:right w:val="nil"/>
        <w:between w:val="nil"/>
      </w:pBdr>
      <w:tabs>
        <w:tab w:val="center" w:pos="4536"/>
        <w:tab w:val="right" w:pos="9072"/>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1A6537"/>
    <w:multiLevelType w:val="multilevel"/>
    <w:tmpl w:val="9A2E7CB2"/>
    <w:lvl w:ilvl="0">
      <w:start w:val="1"/>
      <w:numFmt w:val="decimal"/>
      <w:lvlText w:val="%1."/>
      <w:lvlJc w:val="left"/>
      <w:pPr>
        <w:ind w:left="360" w:hanging="360"/>
      </w:pPr>
    </w:lvl>
    <w:lvl w:ilvl="1">
      <w:start w:val="1"/>
      <w:numFmt w:val="decimal"/>
      <w:lvlText w:val="%1.%2."/>
      <w:lvlJc w:val="left"/>
      <w:pPr>
        <w:ind w:left="1571"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546" w:hanging="1440"/>
      </w:pPr>
    </w:lvl>
    <w:lvl w:ilvl="7">
      <w:start w:val="1"/>
      <w:numFmt w:val="decimal"/>
      <w:lvlText w:val="%1.%2.%3.%4.%5.%6.%7.%8."/>
      <w:lvlJc w:val="left"/>
      <w:pPr>
        <w:ind w:left="7757" w:hanging="1800"/>
      </w:pPr>
    </w:lvl>
    <w:lvl w:ilvl="8">
      <w:start w:val="1"/>
      <w:numFmt w:val="decimal"/>
      <w:lvlText w:val="%1.%2.%3.%4.%5.%6.%7.%8.%9."/>
      <w:lvlJc w:val="left"/>
      <w:pPr>
        <w:ind w:left="8608"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C72"/>
    <w:rsid w:val="002B07FB"/>
    <w:rsid w:val="00423406"/>
    <w:rsid w:val="00531116"/>
    <w:rsid w:val="00C06876"/>
    <w:rsid w:val="00D06C72"/>
    <w:rsid w:val="00D25307"/>
    <w:rsid w:val="00ED6E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3D197"/>
  <w15:docId w15:val="{5914867A-B34F-400C-87C5-BD7E97E0D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tr" w:eastAsia="tr-TR" w:bidi="ar-SA"/>
      </w:rPr>
    </w:rPrDefault>
    <w:pPrDefault>
      <w:pPr>
        <w:spacing w:before="120" w:after="120"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ind w:left="720" w:firstLine="0"/>
      <w:jc w:val="center"/>
      <w:outlineLvl w:val="0"/>
    </w:pPr>
    <w:rPr>
      <w:b/>
      <w:bCs/>
      <w:sz w:val="24"/>
      <w:szCs w:val="24"/>
    </w:rPr>
  </w:style>
  <w:style w:type="paragraph" w:styleId="Balk2">
    <w:name w:val="heading 2"/>
    <w:basedOn w:val="Normal"/>
    <w:next w:val="Normal"/>
    <w:pPr>
      <w:keepNext/>
      <w:spacing w:before="300" w:after="300" w:line="240" w:lineRule="auto"/>
      <w:ind w:left="1571" w:hanging="720"/>
      <w:jc w:val="left"/>
      <w:outlineLvl w:val="1"/>
    </w:pPr>
    <w:rPr>
      <w:b/>
      <w:bCs/>
      <w:sz w:val="24"/>
      <w:szCs w:val="24"/>
      <w:highlight w:val="white"/>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lIEn9pUACDPhfJEXXYP/FbcF1A==">CgMxLjAyDmguczQ0NXBwYnUwenNmOAByITFzOEQyRS0wZXpCX3hCYTcwNVZyV3I0NTQySWZaSmZaRw==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Pages>
  <Words>3463</Words>
  <Characters>19744</Characters>
  <Application>Microsoft Office Word</Application>
  <DocSecurity>0</DocSecurity>
  <Lines>164</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S.Dursun</dc:creator>
  <cp:lastModifiedBy>S.Dursun</cp:lastModifiedBy>
  <cp:revision>6</cp:revision>
  <dcterms:created xsi:type="dcterms:W3CDTF">2026-05-03T13:35:00Z</dcterms:created>
  <dcterms:modified xsi:type="dcterms:W3CDTF">2026-05-03T14:20:00Z</dcterms:modified>
</cp:coreProperties>
</file>