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C5" w:rsidRDefault="00D905C5" w:rsidP="00D905C5">
      <w:pPr>
        <w:ind w:left="51"/>
        <w:jc w:val="center"/>
      </w:pPr>
    </w:p>
    <w:p w:rsidR="00AA0371" w:rsidRPr="00DF2724" w:rsidRDefault="00D905C5" w:rsidP="00DF2724">
      <w:pPr>
        <w:spacing w:after="0"/>
        <w:jc w:val="center"/>
        <w:rPr>
          <w:rFonts w:ascii="Cambria" w:eastAsia="Cambria" w:hAnsi="Cambria" w:cs="Cambria"/>
          <w:b/>
          <w:sz w:val="32"/>
        </w:rPr>
      </w:pPr>
      <w:r w:rsidRPr="00DF2724">
        <w:rPr>
          <w:rFonts w:ascii="Cambria" w:eastAsia="Cambria" w:hAnsi="Cambria" w:cs="Cambria"/>
          <w:b/>
          <w:sz w:val="24"/>
        </w:rPr>
        <w:t>Kontrol Stratejileri ve Yöntemleri</w:t>
      </w:r>
    </w:p>
    <w:p w:rsidR="00D905C5" w:rsidRPr="00D905C5" w:rsidRDefault="00D905C5" w:rsidP="00D905C5">
      <w:pPr>
        <w:spacing w:after="0"/>
        <w:rPr>
          <w:b/>
        </w:rPr>
      </w:pPr>
    </w:p>
    <w:p w:rsidR="00AA0371" w:rsidRDefault="00CE53D6">
      <w:pPr>
        <w:spacing w:after="0"/>
        <w:jc w:val="right"/>
      </w:pPr>
      <w:proofErr w:type="gramStart"/>
      <w:r>
        <w:rPr>
          <w:rFonts w:ascii="Cambria" w:eastAsia="Cambria" w:hAnsi="Cambria" w:cs="Cambria"/>
          <w:sz w:val="20"/>
        </w:rPr>
        <w:t>Kamu  idareleri</w:t>
      </w:r>
      <w:proofErr w:type="gramEnd"/>
      <w:r>
        <w:rPr>
          <w:rFonts w:ascii="Cambria" w:eastAsia="Cambria" w:hAnsi="Cambria" w:cs="Cambria"/>
          <w:sz w:val="20"/>
        </w:rPr>
        <w:t xml:space="preserve">, hedeflerine ulaşmayı amaçlayan ve riskleri karşılamaya uygun kontrol strateji ve </w:t>
      </w:r>
    </w:p>
    <w:p w:rsidR="00AA0371" w:rsidRDefault="00CE53D6">
      <w:pPr>
        <w:spacing w:after="0"/>
      </w:pPr>
      <w:proofErr w:type="gramStart"/>
      <w:r>
        <w:rPr>
          <w:rFonts w:ascii="Cambria" w:eastAsia="Cambria" w:hAnsi="Cambria" w:cs="Cambria"/>
          <w:sz w:val="20"/>
        </w:rPr>
        <w:t>yöntemlerini</w:t>
      </w:r>
      <w:proofErr w:type="gramEnd"/>
      <w:r>
        <w:rPr>
          <w:rFonts w:ascii="Cambria" w:eastAsia="Cambria" w:hAnsi="Cambria" w:cs="Cambria"/>
          <w:sz w:val="20"/>
        </w:rPr>
        <w:t xml:space="preserve"> belirlemeli ve uygulamalıdır.  </w:t>
      </w:r>
    </w:p>
    <w:p w:rsidR="00AA0371" w:rsidRDefault="00CE53D6">
      <w:pPr>
        <w:spacing w:after="0"/>
        <w:ind w:left="708"/>
      </w:pPr>
      <w:r>
        <w:rPr>
          <w:rFonts w:ascii="Cambria" w:eastAsia="Cambria" w:hAnsi="Cambria" w:cs="Cambria"/>
          <w:sz w:val="20"/>
        </w:rPr>
        <w:t xml:space="preserve"> </w:t>
      </w:r>
    </w:p>
    <w:p w:rsidR="00AA0371" w:rsidRDefault="00902444">
      <w:pPr>
        <w:spacing w:after="0"/>
        <w:ind w:left="1"/>
        <w:jc w:val="center"/>
      </w:pPr>
      <w:r>
        <w:rPr>
          <w:rFonts w:ascii="Cambria" w:eastAsia="Cambria" w:hAnsi="Cambria" w:cs="Cambria"/>
          <w:b/>
          <w:sz w:val="20"/>
        </w:rPr>
        <w:t>BİDB</w:t>
      </w:r>
      <w:r w:rsidR="00CE53D6">
        <w:rPr>
          <w:rFonts w:ascii="Cambria" w:eastAsia="Cambria" w:hAnsi="Cambria" w:cs="Cambria"/>
          <w:b/>
          <w:sz w:val="20"/>
        </w:rPr>
        <w:t xml:space="preserve"> HASSAS GÖREVLER VE BU GÖREVLERDE BULUNAN PERSONEL </w:t>
      </w:r>
    </w:p>
    <w:p w:rsidR="00AA0371" w:rsidRDefault="00CE53D6">
      <w:pPr>
        <w:spacing w:after="0"/>
        <w:ind w:left="52"/>
        <w:jc w:val="center"/>
      </w:pPr>
      <w:r>
        <w:rPr>
          <w:rFonts w:ascii="Cambria" w:eastAsia="Cambria" w:hAnsi="Cambria" w:cs="Cambria"/>
          <w:b/>
          <w:sz w:val="20"/>
        </w:rPr>
        <w:t xml:space="preserve"> </w:t>
      </w:r>
    </w:p>
    <w:p w:rsidR="00AA0371" w:rsidRDefault="00CE53D6">
      <w:pPr>
        <w:spacing w:after="0"/>
      </w:pPr>
      <w:r>
        <w:rPr>
          <w:rFonts w:ascii="Cambria" w:eastAsia="Cambria" w:hAnsi="Cambria" w:cs="Cambria"/>
          <w:sz w:val="20"/>
        </w:rPr>
        <w:t xml:space="preserve"> </w:t>
      </w:r>
    </w:p>
    <w:tbl>
      <w:tblPr>
        <w:tblStyle w:val="TableGrid"/>
        <w:tblW w:w="11482" w:type="dxa"/>
        <w:tblInd w:w="-1139" w:type="dxa"/>
        <w:tblCellMar>
          <w:top w:w="38" w:type="dxa"/>
          <w:left w:w="107" w:type="dxa"/>
          <w:right w:w="70" w:type="dxa"/>
        </w:tblCellMar>
        <w:tblLook w:val="04A0" w:firstRow="1" w:lastRow="0" w:firstColumn="1" w:lastColumn="0" w:noHBand="0" w:noVBand="1"/>
      </w:tblPr>
      <w:tblGrid>
        <w:gridCol w:w="2127"/>
        <w:gridCol w:w="2844"/>
        <w:gridCol w:w="1055"/>
        <w:gridCol w:w="2822"/>
        <w:gridCol w:w="2634"/>
      </w:tblGrid>
      <w:tr w:rsidR="007F296B" w:rsidTr="00CE53D6">
        <w:trPr>
          <w:trHeight w:val="712"/>
        </w:trPr>
        <w:tc>
          <w:tcPr>
            <w:tcW w:w="212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pPr>
              <w:ind w:right="41"/>
              <w:jc w:val="center"/>
            </w:pPr>
            <w:r>
              <w:rPr>
                <w:rFonts w:ascii="Cambria" w:eastAsia="Cambria" w:hAnsi="Cambria" w:cs="Cambria"/>
                <w:b/>
                <w:sz w:val="20"/>
              </w:rPr>
              <w:t xml:space="preserve">Hassas Görevler </w:t>
            </w:r>
          </w:p>
        </w:tc>
        <w:tc>
          <w:tcPr>
            <w:tcW w:w="284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pPr>
              <w:ind w:right="39"/>
              <w:jc w:val="center"/>
            </w:pPr>
            <w:r>
              <w:rPr>
                <w:rFonts w:ascii="Cambria" w:eastAsia="Cambria" w:hAnsi="Cambria" w:cs="Cambria"/>
                <w:b/>
                <w:sz w:val="20"/>
              </w:rPr>
              <w:t xml:space="preserve">Hassas Görevi </w:t>
            </w:r>
          </w:p>
          <w:p w:rsidR="00AA0371" w:rsidRDefault="00CE53D6">
            <w:pPr>
              <w:ind w:right="40"/>
              <w:jc w:val="center"/>
            </w:pPr>
            <w:r>
              <w:rPr>
                <w:rFonts w:ascii="Cambria" w:eastAsia="Cambria" w:hAnsi="Cambria" w:cs="Cambria"/>
                <w:b/>
                <w:sz w:val="20"/>
              </w:rPr>
              <w:t xml:space="preserve">Olan Personel </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902444">
            <w:pPr>
              <w:jc w:val="center"/>
            </w:pPr>
            <w:r>
              <w:rPr>
                <w:rFonts w:ascii="Cambria" w:eastAsia="Cambria" w:hAnsi="Cambria" w:cs="Cambria"/>
                <w:b/>
                <w:sz w:val="20"/>
              </w:rPr>
              <w:t>Risk Düzeyi</w:t>
            </w:r>
            <w:r w:rsidR="00CE53D6">
              <w:rPr>
                <w:rFonts w:ascii="Cambria" w:eastAsia="Cambria" w:hAnsi="Cambria" w:cs="Cambria"/>
                <w:b/>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tcPr>
          <w:p w:rsidR="00902444" w:rsidRDefault="00902444" w:rsidP="00902444">
            <w:pPr>
              <w:ind w:right="39"/>
              <w:jc w:val="center"/>
            </w:pPr>
            <w:r>
              <w:rPr>
                <w:rFonts w:ascii="Cambria" w:eastAsia="Cambria" w:hAnsi="Cambria" w:cs="Cambria"/>
                <w:b/>
                <w:sz w:val="20"/>
              </w:rPr>
              <w:t xml:space="preserve">Görevlerin Yerine </w:t>
            </w:r>
          </w:p>
          <w:p w:rsidR="00AA0371" w:rsidRDefault="00902444" w:rsidP="00902444">
            <w:pPr>
              <w:ind w:right="40"/>
              <w:jc w:val="center"/>
            </w:pPr>
            <w:r>
              <w:rPr>
                <w:rFonts w:ascii="Cambria" w:eastAsia="Cambria" w:hAnsi="Cambria" w:cs="Cambria"/>
                <w:b/>
                <w:sz w:val="20"/>
              </w:rPr>
              <w:t>Getirilmemesinin Sonuçları</w:t>
            </w:r>
          </w:p>
        </w:tc>
        <w:tc>
          <w:tcPr>
            <w:tcW w:w="2634" w:type="dxa"/>
            <w:tcBorders>
              <w:top w:val="single" w:sz="4" w:space="0" w:color="000000"/>
              <w:left w:val="single" w:sz="4" w:space="0" w:color="000000"/>
              <w:bottom w:val="single" w:sz="4" w:space="0" w:color="000000"/>
              <w:right w:val="single" w:sz="4" w:space="0" w:color="000000"/>
            </w:tcBorders>
            <w:shd w:val="clear" w:color="auto" w:fill="E0E0E0"/>
          </w:tcPr>
          <w:p w:rsidR="00AA0371" w:rsidRDefault="00902444">
            <w:pPr>
              <w:jc w:val="center"/>
            </w:pPr>
            <w:r>
              <w:rPr>
                <w:rFonts w:ascii="Cambria" w:eastAsia="Cambria" w:hAnsi="Cambria" w:cs="Cambria"/>
                <w:b/>
                <w:sz w:val="20"/>
              </w:rPr>
              <w:t>Alınması Gereken Önlemler</w:t>
            </w:r>
            <w:r w:rsidR="00CE53D6">
              <w:rPr>
                <w:rFonts w:ascii="Cambria" w:eastAsia="Cambria" w:hAnsi="Cambria" w:cs="Cambria"/>
                <w:b/>
                <w:sz w:val="20"/>
              </w:rPr>
              <w:t xml:space="preserve"> </w:t>
            </w:r>
          </w:p>
        </w:tc>
      </w:tr>
      <w:tr w:rsidR="007F296B" w:rsidTr="00CE53D6">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E0E0E0"/>
          </w:tcPr>
          <w:p w:rsidR="00902444" w:rsidRPr="00902444" w:rsidRDefault="00902444">
            <w:pPr>
              <w:rPr>
                <w:rFonts w:ascii="Cambria" w:hAnsi="Cambria"/>
                <w:sz w:val="20"/>
              </w:rPr>
            </w:pPr>
          </w:p>
          <w:p w:rsidR="00902444" w:rsidRPr="00902444" w:rsidRDefault="00902444">
            <w:pPr>
              <w:rPr>
                <w:rFonts w:ascii="Cambria" w:hAnsi="Cambria"/>
                <w:sz w:val="20"/>
              </w:rPr>
            </w:pPr>
          </w:p>
          <w:p w:rsidR="00902444" w:rsidRPr="00902444" w:rsidRDefault="00902444">
            <w:pPr>
              <w:rPr>
                <w:rFonts w:ascii="Cambria" w:hAnsi="Cambria"/>
                <w:sz w:val="20"/>
              </w:rPr>
            </w:pPr>
          </w:p>
          <w:p w:rsidR="00902444" w:rsidRPr="00902444" w:rsidRDefault="00902444">
            <w:pPr>
              <w:rPr>
                <w:rFonts w:ascii="Cambria" w:hAnsi="Cambria"/>
                <w:sz w:val="20"/>
              </w:rPr>
            </w:pPr>
          </w:p>
          <w:p w:rsidR="00902444" w:rsidRPr="00902444" w:rsidRDefault="00902444">
            <w:pPr>
              <w:rPr>
                <w:rFonts w:ascii="Cambria" w:hAnsi="Cambria"/>
                <w:sz w:val="20"/>
              </w:rPr>
            </w:pPr>
          </w:p>
          <w:p w:rsidR="00902444" w:rsidRPr="00902444" w:rsidRDefault="00902444">
            <w:pPr>
              <w:rPr>
                <w:rFonts w:ascii="Cambria" w:hAnsi="Cambria"/>
                <w:sz w:val="20"/>
              </w:rPr>
            </w:pPr>
          </w:p>
          <w:p w:rsidR="00AA0371" w:rsidRPr="00902444" w:rsidRDefault="00902444">
            <w:pPr>
              <w:rPr>
                <w:rFonts w:ascii="Cambria" w:hAnsi="Cambria"/>
                <w:sz w:val="20"/>
              </w:rPr>
            </w:pPr>
            <w:r w:rsidRPr="00902444">
              <w:rPr>
                <w:rFonts w:ascii="Cambria" w:hAnsi="Cambria"/>
                <w:sz w:val="20"/>
              </w:rPr>
              <w:t>Stratejik Planın Hazırlanması</w:t>
            </w:r>
          </w:p>
        </w:tc>
        <w:tc>
          <w:tcPr>
            <w:tcW w:w="284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902444" w:rsidRDefault="00436B72">
            <w:pPr>
              <w:ind w:left="1"/>
              <w:rPr>
                <w:rFonts w:ascii="Cambria" w:hAnsi="Cambria"/>
                <w:sz w:val="20"/>
              </w:rPr>
            </w:pPr>
            <w:r>
              <w:rPr>
                <w:rFonts w:ascii="Cambria" w:hAnsi="Cambria"/>
                <w:sz w:val="20"/>
              </w:rPr>
              <w:t>İrfan CANDAŞ</w:t>
            </w:r>
          </w:p>
          <w:p w:rsidR="00902444" w:rsidRPr="00902444" w:rsidRDefault="00902444">
            <w:pPr>
              <w:ind w:left="1"/>
              <w:rPr>
                <w:rFonts w:ascii="Cambria" w:hAnsi="Cambria"/>
                <w:sz w:val="20"/>
              </w:rPr>
            </w:pPr>
            <w:r w:rsidRPr="00902444">
              <w:rPr>
                <w:rFonts w:ascii="Cambria" w:hAnsi="Cambria"/>
                <w:sz w:val="20"/>
              </w:rPr>
              <w:t>Mustafa AYYILDIZ</w:t>
            </w:r>
          </w:p>
        </w:tc>
        <w:tc>
          <w:tcPr>
            <w:tcW w:w="1055" w:type="dxa"/>
            <w:tcBorders>
              <w:top w:val="single" w:sz="4" w:space="0" w:color="000000"/>
              <w:left w:val="single" w:sz="4" w:space="0" w:color="000000"/>
              <w:bottom w:val="single" w:sz="4" w:space="0" w:color="000000"/>
              <w:right w:val="single" w:sz="4" w:space="0" w:color="000000"/>
            </w:tcBorders>
            <w:shd w:val="clear" w:color="auto" w:fill="E0E0E0"/>
          </w:tcPr>
          <w:p w:rsidR="00902444" w:rsidRPr="00902444" w:rsidRDefault="00902444">
            <w:pPr>
              <w:rPr>
                <w:rFonts w:ascii="Cambria" w:eastAsia="Cambria" w:hAnsi="Cambria" w:cs="Cambria"/>
                <w:sz w:val="20"/>
              </w:rPr>
            </w:pPr>
          </w:p>
          <w:p w:rsidR="00902444" w:rsidRPr="00902444" w:rsidRDefault="00902444">
            <w:pPr>
              <w:rPr>
                <w:rFonts w:ascii="Cambria" w:eastAsia="Cambria" w:hAnsi="Cambria" w:cs="Cambria"/>
                <w:sz w:val="20"/>
              </w:rPr>
            </w:pPr>
          </w:p>
          <w:p w:rsidR="00902444" w:rsidRPr="00902444" w:rsidRDefault="00902444">
            <w:pPr>
              <w:rPr>
                <w:rFonts w:ascii="Cambria" w:eastAsia="Cambria" w:hAnsi="Cambria" w:cs="Cambria"/>
                <w:sz w:val="20"/>
              </w:rPr>
            </w:pPr>
          </w:p>
          <w:p w:rsidR="00902444" w:rsidRPr="00902444" w:rsidRDefault="00902444">
            <w:pPr>
              <w:rPr>
                <w:rFonts w:ascii="Cambria" w:eastAsia="Cambria" w:hAnsi="Cambria" w:cs="Cambria"/>
                <w:sz w:val="20"/>
              </w:rPr>
            </w:pPr>
          </w:p>
          <w:p w:rsidR="00902444" w:rsidRPr="00902444" w:rsidRDefault="00902444">
            <w:pPr>
              <w:rPr>
                <w:rFonts w:ascii="Cambria" w:eastAsia="Cambria" w:hAnsi="Cambria" w:cs="Cambria"/>
                <w:sz w:val="20"/>
              </w:rPr>
            </w:pPr>
          </w:p>
          <w:p w:rsidR="00902444" w:rsidRPr="00902444" w:rsidRDefault="00902444">
            <w:pPr>
              <w:rPr>
                <w:rFonts w:ascii="Cambria" w:eastAsia="Cambria" w:hAnsi="Cambria" w:cs="Cambria"/>
                <w:sz w:val="20"/>
              </w:rPr>
            </w:pPr>
          </w:p>
          <w:p w:rsidR="00AA0371" w:rsidRPr="00902444" w:rsidRDefault="00902444">
            <w:pPr>
              <w:rPr>
                <w:rFonts w:ascii="Cambria" w:hAnsi="Cambria"/>
                <w:sz w:val="20"/>
              </w:rPr>
            </w:pPr>
            <w:r w:rsidRPr="00902444">
              <w:rPr>
                <w:rFonts w:ascii="Cambria" w:eastAsia="Cambria" w:hAnsi="Cambria" w:cs="Cambria"/>
                <w:sz w:val="20"/>
              </w:rPr>
              <w:t>Yüksek</w:t>
            </w:r>
            <w:r w:rsidR="00CE53D6" w:rsidRPr="00902444">
              <w:rPr>
                <w:rFonts w:ascii="Cambria" w:eastAsia="Cambria" w:hAnsi="Cambria" w:cs="Cambria"/>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902444" w:rsidRDefault="00902444" w:rsidP="007F296B">
            <w:pPr>
              <w:pStyle w:val="ListeParagraf"/>
              <w:numPr>
                <w:ilvl w:val="0"/>
                <w:numId w:val="1"/>
              </w:numPr>
              <w:ind w:left="255"/>
              <w:rPr>
                <w:rFonts w:ascii="Cambria" w:hAnsi="Cambria"/>
                <w:sz w:val="20"/>
              </w:rPr>
            </w:pPr>
            <w:r w:rsidRPr="00902444">
              <w:rPr>
                <w:rFonts w:ascii="Cambria" w:hAnsi="Cambria"/>
                <w:sz w:val="20"/>
              </w:rPr>
              <w:t xml:space="preserve">Her kurumsal gelişim hem de belirlenen </w:t>
            </w:r>
            <w:proofErr w:type="gramStart"/>
            <w:r w:rsidRPr="00902444">
              <w:rPr>
                <w:rFonts w:ascii="Cambria" w:hAnsi="Cambria"/>
                <w:sz w:val="20"/>
              </w:rPr>
              <w:t>vizyon</w:t>
            </w:r>
            <w:proofErr w:type="gramEnd"/>
            <w:r w:rsidRPr="00902444">
              <w:rPr>
                <w:rFonts w:ascii="Cambria" w:hAnsi="Cambria"/>
                <w:sz w:val="20"/>
              </w:rPr>
              <w:t xml:space="preserve"> çerçevesinde kaliteli hizmet sunamamak aynı amaç için çalışma sağlanamaz.</w:t>
            </w:r>
          </w:p>
        </w:tc>
        <w:tc>
          <w:tcPr>
            <w:tcW w:w="2634" w:type="dxa"/>
            <w:tcBorders>
              <w:top w:val="single" w:sz="4" w:space="0" w:color="000000"/>
              <w:left w:val="single" w:sz="4" w:space="0" w:color="000000"/>
              <w:bottom w:val="single" w:sz="4" w:space="0" w:color="auto"/>
              <w:right w:val="single" w:sz="4" w:space="0" w:color="000000"/>
            </w:tcBorders>
            <w:shd w:val="clear" w:color="auto" w:fill="E0E0E0"/>
            <w:vAlign w:val="center"/>
          </w:tcPr>
          <w:p w:rsidR="00AA0371" w:rsidRPr="00902444" w:rsidRDefault="00902444" w:rsidP="00902444">
            <w:pPr>
              <w:pStyle w:val="ListeParagraf"/>
              <w:numPr>
                <w:ilvl w:val="0"/>
                <w:numId w:val="1"/>
              </w:numPr>
              <w:ind w:left="318"/>
              <w:rPr>
                <w:rFonts w:ascii="Cambria" w:hAnsi="Cambria"/>
                <w:sz w:val="20"/>
              </w:rPr>
            </w:pPr>
            <w:r w:rsidRPr="00902444">
              <w:rPr>
                <w:rFonts w:ascii="Cambria" w:hAnsi="Cambria"/>
                <w:sz w:val="20"/>
              </w:rPr>
              <w:t>Stratejik plan hazırlama sürecine şube müdürü katılımını sağlamak.</w:t>
            </w:r>
          </w:p>
          <w:p w:rsidR="00902444" w:rsidRPr="00902444" w:rsidRDefault="00902444" w:rsidP="00902444">
            <w:pPr>
              <w:pStyle w:val="ListeParagraf"/>
              <w:numPr>
                <w:ilvl w:val="0"/>
                <w:numId w:val="1"/>
              </w:numPr>
              <w:ind w:left="318"/>
              <w:rPr>
                <w:rFonts w:ascii="Cambria" w:hAnsi="Cambria"/>
                <w:sz w:val="20"/>
              </w:rPr>
            </w:pPr>
            <w:r w:rsidRPr="00902444">
              <w:rPr>
                <w:rFonts w:ascii="Cambria" w:hAnsi="Cambria"/>
                <w:sz w:val="20"/>
              </w:rPr>
              <w:t>Süreci başlatmadan önce bu iş için çalışanları bilgilendirmek.</w:t>
            </w:r>
          </w:p>
          <w:p w:rsidR="00902444" w:rsidRPr="00902444" w:rsidRDefault="00902444" w:rsidP="00902444">
            <w:pPr>
              <w:pStyle w:val="ListeParagraf"/>
              <w:numPr>
                <w:ilvl w:val="0"/>
                <w:numId w:val="1"/>
              </w:numPr>
              <w:ind w:left="318"/>
              <w:rPr>
                <w:rFonts w:ascii="Cambria" w:hAnsi="Cambria"/>
                <w:sz w:val="20"/>
              </w:rPr>
            </w:pPr>
            <w:r w:rsidRPr="00902444">
              <w:rPr>
                <w:rFonts w:ascii="Cambria" w:hAnsi="Cambria"/>
                <w:sz w:val="20"/>
              </w:rPr>
              <w:t>Geçmişe ilişkin mali bilgileri derlemek gelecekle ilgili bütçe nakit akışı tahminlerini gerçekleştirmek.</w:t>
            </w:r>
          </w:p>
        </w:tc>
      </w:tr>
      <w:tr w:rsidR="007F296B" w:rsidTr="00CE53D6">
        <w:trPr>
          <w:trHeight w:val="949"/>
        </w:trPr>
        <w:tc>
          <w:tcPr>
            <w:tcW w:w="2127" w:type="dxa"/>
            <w:tcBorders>
              <w:top w:val="single" w:sz="4" w:space="0" w:color="000000"/>
              <w:left w:val="single" w:sz="4" w:space="0" w:color="000000"/>
              <w:bottom w:val="single" w:sz="4" w:space="0" w:color="000000"/>
              <w:right w:val="single" w:sz="4" w:space="0" w:color="000000"/>
            </w:tcBorders>
            <w:shd w:val="clear" w:color="auto" w:fill="E0E0E0"/>
          </w:tcPr>
          <w:p w:rsidR="00AA0371" w:rsidRDefault="00CE53D6">
            <w:r>
              <w:rPr>
                <w:rFonts w:ascii="Cambria" w:eastAsia="Cambria" w:hAnsi="Cambria" w:cs="Cambria"/>
                <w:sz w:val="20"/>
              </w:rPr>
              <w:t xml:space="preserve"> </w:t>
            </w:r>
            <w:r w:rsidR="00902444">
              <w:rPr>
                <w:rFonts w:ascii="Cambria" w:eastAsia="Cambria" w:hAnsi="Cambria" w:cs="Cambria"/>
                <w:sz w:val="20"/>
              </w:rPr>
              <w:t>Faaliyet Raporu Hazırlanması</w:t>
            </w:r>
          </w:p>
        </w:tc>
        <w:tc>
          <w:tcPr>
            <w:tcW w:w="284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36B72" w:rsidRPr="00902444" w:rsidRDefault="00CE53D6" w:rsidP="00436B72">
            <w:pPr>
              <w:ind w:left="1"/>
              <w:rPr>
                <w:rFonts w:ascii="Cambria" w:hAnsi="Cambria"/>
                <w:sz w:val="20"/>
              </w:rPr>
            </w:pPr>
            <w:r>
              <w:rPr>
                <w:rFonts w:ascii="Cambria" w:eastAsia="Cambria" w:hAnsi="Cambria" w:cs="Cambria"/>
                <w:sz w:val="20"/>
              </w:rPr>
              <w:t xml:space="preserve"> </w:t>
            </w:r>
            <w:r w:rsidR="00436B72">
              <w:rPr>
                <w:rFonts w:ascii="Cambria" w:hAnsi="Cambria"/>
                <w:sz w:val="20"/>
              </w:rPr>
              <w:t>İrfan CANDAŞ</w:t>
            </w:r>
          </w:p>
          <w:p w:rsidR="00902444" w:rsidRDefault="00436B72" w:rsidP="00436B72">
            <w:pPr>
              <w:ind w:left="1"/>
            </w:pPr>
            <w:r w:rsidRPr="00902444">
              <w:rPr>
                <w:rFonts w:ascii="Cambria" w:hAnsi="Cambria"/>
                <w:sz w:val="20"/>
              </w:rPr>
              <w:t>Mustafa AYYILDIZ</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902444">
            <w:r>
              <w:rPr>
                <w:rFonts w:ascii="Cambria" w:eastAsia="Cambria" w:hAnsi="Cambria" w:cs="Cambria"/>
                <w:sz w:val="20"/>
              </w:rPr>
              <w:t>Yüksek</w:t>
            </w:r>
            <w:r w:rsidR="00CE53D6">
              <w:rPr>
                <w:rFonts w:ascii="Cambria" w:eastAsia="Cambria" w:hAnsi="Cambria" w:cs="Cambria"/>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902444" w:rsidRDefault="00902444" w:rsidP="00902444">
            <w:pPr>
              <w:pStyle w:val="ListeParagraf"/>
              <w:numPr>
                <w:ilvl w:val="0"/>
                <w:numId w:val="2"/>
              </w:numPr>
              <w:ind w:left="285"/>
              <w:rPr>
                <w:rFonts w:ascii="Cambria" w:hAnsi="Cambria"/>
                <w:sz w:val="20"/>
                <w:szCs w:val="20"/>
              </w:rPr>
            </w:pPr>
            <w:r w:rsidRPr="00902444">
              <w:rPr>
                <w:rFonts w:ascii="Cambria" w:hAnsi="Cambria"/>
                <w:sz w:val="20"/>
                <w:szCs w:val="20"/>
              </w:rPr>
              <w:t>Şeffaflık ve hesap verme sorumluluğunu yerine getirilmemesi itibarı zedeler.</w:t>
            </w:r>
          </w:p>
        </w:tc>
        <w:tc>
          <w:tcPr>
            <w:tcW w:w="2634" w:type="dxa"/>
            <w:tcBorders>
              <w:top w:val="single" w:sz="4" w:space="0" w:color="auto"/>
              <w:left w:val="single" w:sz="4" w:space="0" w:color="000000"/>
              <w:bottom w:val="single" w:sz="4" w:space="0" w:color="000000"/>
              <w:right w:val="single" w:sz="4" w:space="0" w:color="000000"/>
            </w:tcBorders>
            <w:shd w:val="clear" w:color="auto" w:fill="E0E0E0"/>
            <w:vAlign w:val="center"/>
          </w:tcPr>
          <w:p w:rsidR="00AA0371" w:rsidRDefault="00902444" w:rsidP="00902444">
            <w:pPr>
              <w:pStyle w:val="ListeParagraf"/>
              <w:numPr>
                <w:ilvl w:val="0"/>
                <w:numId w:val="2"/>
              </w:numPr>
              <w:ind w:left="318"/>
            </w:pPr>
            <w:r>
              <w:rPr>
                <w:rFonts w:ascii="Cambria" w:eastAsia="Cambria" w:hAnsi="Cambria" w:cs="Cambria"/>
                <w:sz w:val="20"/>
              </w:rPr>
              <w:t>Şube müdürünün katılımını sağlamak</w:t>
            </w:r>
            <w:r w:rsidR="00CE53D6" w:rsidRPr="00902444">
              <w:rPr>
                <w:rFonts w:ascii="Cambria" w:eastAsia="Cambria" w:hAnsi="Cambria" w:cs="Cambria"/>
                <w:sz w:val="20"/>
              </w:rPr>
              <w:t xml:space="preserve">. </w:t>
            </w:r>
          </w:p>
        </w:tc>
      </w:tr>
      <w:tr w:rsidR="007F296B" w:rsidTr="00CE53D6">
        <w:trPr>
          <w:trHeight w:val="2140"/>
        </w:trPr>
        <w:tc>
          <w:tcPr>
            <w:tcW w:w="212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F296B" w:rsidRDefault="007F296B">
            <w:pPr>
              <w:ind w:right="13"/>
              <w:rPr>
                <w:rFonts w:ascii="Cambria" w:hAnsi="Cambria"/>
                <w:sz w:val="20"/>
                <w:szCs w:val="20"/>
              </w:rPr>
            </w:pPr>
            <w:r w:rsidRPr="007F296B">
              <w:rPr>
                <w:rFonts w:ascii="Cambria" w:hAnsi="Cambria"/>
                <w:sz w:val="20"/>
                <w:szCs w:val="20"/>
              </w:rPr>
              <w:t>Stratejik Plan, faaliyet raporu gibi belgelerin mevzuatta belirlenen sürede hazırlanması</w:t>
            </w:r>
          </w:p>
        </w:tc>
        <w:tc>
          <w:tcPr>
            <w:tcW w:w="2844" w:type="dxa"/>
            <w:tcBorders>
              <w:top w:val="single" w:sz="4" w:space="0" w:color="000000"/>
              <w:left w:val="single" w:sz="4" w:space="0" w:color="000000"/>
              <w:bottom w:val="single" w:sz="4" w:space="0" w:color="000000"/>
              <w:right w:val="single" w:sz="4" w:space="0" w:color="000000"/>
            </w:tcBorders>
            <w:shd w:val="clear" w:color="auto" w:fill="E0E0E0"/>
          </w:tcPr>
          <w:p w:rsidR="00436B72" w:rsidRPr="00902444" w:rsidRDefault="00436B72" w:rsidP="00436B72">
            <w:pPr>
              <w:ind w:left="1"/>
              <w:rPr>
                <w:rFonts w:ascii="Cambria" w:hAnsi="Cambria"/>
                <w:sz w:val="20"/>
              </w:rPr>
            </w:pPr>
            <w:r>
              <w:rPr>
                <w:rFonts w:ascii="Cambria" w:hAnsi="Cambria"/>
                <w:sz w:val="20"/>
              </w:rPr>
              <w:t>İrfan CANDAŞ</w:t>
            </w:r>
          </w:p>
          <w:p w:rsidR="007F296B" w:rsidRPr="007F296B" w:rsidRDefault="00436B72" w:rsidP="00436B72">
            <w:pPr>
              <w:ind w:left="1"/>
              <w:rPr>
                <w:rFonts w:ascii="Cambria" w:hAnsi="Cambria"/>
                <w:sz w:val="20"/>
                <w:szCs w:val="20"/>
              </w:rPr>
            </w:pPr>
            <w:r w:rsidRPr="00902444">
              <w:rPr>
                <w:rFonts w:ascii="Cambria" w:hAnsi="Cambria"/>
                <w:sz w:val="20"/>
              </w:rPr>
              <w:t>Mustafa AYYILDIZ</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F296B" w:rsidRDefault="007F296B">
            <w:pPr>
              <w:rPr>
                <w:rFonts w:ascii="Cambria" w:hAnsi="Cambria"/>
                <w:sz w:val="20"/>
                <w:szCs w:val="20"/>
              </w:rPr>
            </w:pPr>
            <w:r w:rsidRPr="007F296B">
              <w:rPr>
                <w:rFonts w:ascii="Cambria" w:hAnsi="Cambria"/>
                <w:sz w:val="20"/>
                <w:szCs w:val="20"/>
              </w:rPr>
              <w:t>Yüksek</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F296B" w:rsidRDefault="007F296B" w:rsidP="007F296B">
            <w:pPr>
              <w:pStyle w:val="ListeParagraf"/>
              <w:numPr>
                <w:ilvl w:val="0"/>
                <w:numId w:val="3"/>
              </w:numPr>
              <w:ind w:left="374"/>
              <w:rPr>
                <w:rFonts w:ascii="Cambria" w:hAnsi="Cambria"/>
                <w:sz w:val="20"/>
                <w:szCs w:val="20"/>
              </w:rPr>
            </w:pPr>
            <w:r w:rsidRPr="007F296B">
              <w:rPr>
                <w:rFonts w:ascii="Cambria" w:hAnsi="Cambria"/>
                <w:sz w:val="20"/>
                <w:szCs w:val="20"/>
              </w:rPr>
              <w:t>Birim itibarını zedeler.</w:t>
            </w:r>
          </w:p>
          <w:p w:rsidR="007F296B" w:rsidRPr="007F296B" w:rsidRDefault="007F296B" w:rsidP="007F296B">
            <w:pPr>
              <w:pStyle w:val="ListeParagraf"/>
              <w:numPr>
                <w:ilvl w:val="0"/>
                <w:numId w:val="3"/>
              </w:numPr>
              <w:ind w:left="374"/>
              <w:rPr>
                <w:rFonts w:ascii="Cambria" w:hAnsi="Cambria"/>
                <w:sz w:val="20"/>
                <w:szCs w:val="20"/>
              </w:rPr>
            </w:pPr>
            <w:r w:rsidRPr="007F296B">
              <w:rPr>
                <w:rFonts w:ascii="Cambria" w:hAnsi="Cambria"/>
                <w:sz w:val="20"/>
                <w:szCs w:val="20"/>
              </w:rPr>
              <w:t>Karar alma sürecinin olumsuz etkiler.</w:t>
            </w:r>
          </w:p>
          <w:p w:rsidR="007F296B" w:rsidRPr="007F296B" w:rsidRDefault="007F296B" w:rsidP="007F296B">
            <w:pPr>
              <w:pStyle w:val="ListeParagraf"/>
              <w:numPr>
                <w:ilvl w:val="0"/>
                <w:numId w:val="3"/>
              </w:numPr>
              <w:ind w:left="374"/>
              <w:rPr>
                <w:rFonts w:ascii="Cambria" w:hAnsi="Cambria"/>
                <w:sz w:val="20"/>
                <w:szCs w:val="20"/>
              </w:rPr>
            </w:pPr>
            <w:r w:rsidRPr="007F296B">
              <w:rPr>
                <w:rFonts w:ascii="Cambria" w:hAnsi="Cambria"/>
                <w:sz w:val="20"/>
                <w:szCs w:val="20"/>
              </w:rPr>
              <w:t>Birimin fonksiyonlarını yerine getirmesini engeller.</w:t>
            </w:r>
          </w:p>
        </w:tc>
        <w:tc>
          <w:tcPr>
            <w:tcW w:w="26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F296B" w:rsidRDefault="007F296B" w:rsidP="007F296B">
            <w:pPr>
              <w:pStyle w:val="ListeParagraf"/>
              <w:numPr>
                <w:ilvl w:val="0"/>
                <w:numId w:val="3"/>
              </w:numPr>
              <w:ind w:left="318"/>
              <w:rPr>
                <w:rFonts w:ascii="Cambria" w:hAnsi="Cambria"/>
                <w:sz w:val="20"/>
                <w:szCs w:val="20"/>
              </w:rPr>
            </w:pPr>
            <w:r w:rsidRPr="007F296B">
              <w:rPr>
                <w:rFonts w:ascii="Cambria" w:hAnsi="Cambria"/>
                <w:sz w:val="20"/>
                <w:szCs w:val="20"/>
              </w:rPr>
              <w:t>İlgili mevzuatında belirtilen tarihler dikkate alınarak çalışma takvimini belirlemek.</w:t>
            </w:r>
          </w:p>
          <w:p w:rsidR="007F296B" w:rsidRPr="007F296B" w:rsidRDefault="007F296B" w:rsidP="007F296B">
            <w:pPr>
              <w:pStyle w:val="ListeParagraf"/>
              <w:numPr>
                <w:ilvl w:val="0"/>
                <w:numId w:val="3"/>
              </w:numPr>
              <w:ind w:left="318"/>
              <w:rPr>
                <w:rFonts w:ascii="Cambria" w:hAnsi="Cambria"/>
                <w:sz w:val="20"/>
                <w:szCs w:val="20"/>
              </w:rPr>
            </w:pPr>
            <w:r w:rsidRPr="007F296B">
              <w:rPr>
                <w:rFonts w:ascii="Cambria" w:hAnsi="Cambria"/>
                <w:sz w:val="20"/>
                <w:szCs w:val="20"/>
              </w:rPr>
              <w:t>Bilinçlendirme toplantıları düzenlemek.</w:t>
            </w:r>
          </w:p>
        </w:tc>
      </w:tr>
      <w:tr w:rsidR="007F296B" w:rsidTr="00CE53D6">
        <w:trPr>
          <w:trHeight w:val="542"/>
        </w:trPr>
        <w:tc>
          <w:tcPr>
            <w:tcW w:w="212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7F296B">
            <w:r>
              <w:rPr>
                <w:rFonts w:ascii="Cambria" w:eastAsia="Cambria" w:hAnsi="Cambria" w:cs="Cambria"/>
                <w:sz w:val="20"/>
              </w:rPr>
              <w:t>Bütçe Hazırlık İşlemleri</w:t>
            </w:r>
            <w:r w:rsidR="00CE53D6">
              <w:rPr>
                <w:rFonts w:ascii="Cambria" w:eastAsia="Cambria" w:hAnsi="Cambria" w:cs="Cambria"/>
                <w:sz w:val="20"/>
              </w:rPr>
              <w:t xml:space="preserve"> </w:t>
            </w:r>
          </w:p>
        </w:tc>
        <w:tc>
          <w:tcPr>
            <w:tcW w:w="2844"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ind w:left="1"/>
              <w:rPr>
                <w:rFonts w:ascii="Cambria" w:eastAsia="Cambria" w:hAnsi="Cambria" w:cs="Cambria"/>
                <w:sz w:val="20"/>
              </w:rPr>
            </w:pPr>
          </w:p>
          <w:p w:rsidR="00CE53D6" w:rsidRDefault="00CE53D6">
            <w:pPr>
              <w:ind w:left="1"/>
              <w:rPr>
                <w:rFonts w:ascii="Cambria" w:eastAsia="Cambria" w:hAnsi="Cambria" w:cs="Cambria"/>
                <w:sz w:val="20"/>
              </w:rPr>
            </w:pPr>
          </w:p>
          <w:p w:rsidR="00CE53D6" w:rsidRDefault="00CE53D6">
            <w:pPr>
              <w:ind w:left="1"/>
              <w:rPr>
                <w:rFonts w:ascii="Cambria" w:eastAsia="Cambria" w:hAnsi="Cambria" w:cs="Cambria"/>
                <w:sz w:val="20"/>
              </w:rPr>
            </w:pPr>
          </w:p>
          <w:p w:rsidR="00CE53D6" w:rsidRDefault="00CE53D6">
            <w:pPr>
              <w:ind w:left="1"/>
              <w:rPr>
                <w:rFonts w:ascii="Cambria" w:eastAsia="Cambria" w:hAnsi="Cambria" w:cs="Cambria"/>
                <w:sz w:val="20"/>
              </w:rPr>
            </w:pPr>
          </w:p>
          <w:p w:rsidR="00436B72" w:rsidRPr="00902444" w:rsidRDefault="00436B72" w:rsidP="00436B72">
            <w:pPr>
              <w:ind w:left="1"/>
              <w:rPr>
                <w:rFonts w:ascii="Cambria" w:hAnsi="Cambria"/>
                <w:sz w:val="20"/>
              </w:rPr>
            </w:pPr>
            <w:r>
              <w:rPr>
                <w:rFonts w:ascii="Cambria" w:hAnsi="Cambria"/>
                <w:sz w:val="20"/>
              </w:rPr>
              <w:t>İrfan CANDAŞ</w:t>
            </w:r>
          </w:p>
          <w:p w:rsidR="00AA0371" w:rsidRDefault="00436B72" w:rsidP="00436B72">
            <w:pPr>
              <w:ind w:left="1"/>
            </w:pPr>
            <w:r w:rsidRPr="00902444">
              <w:rPr>
                <w:rFonts w:ascii="Cambria" w:hAnsi="Cambria"/>
                <w:sz w:val="20"/>
              </w:rPr>
              <w:t>Mustafa AYYILDIZ</w:t>
            </w:r>
          </w:p>
        </w:tc>
        <w:tc>
          <w:tcPr>
            <w:tcW w:w="1055"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ind w:right="10"/>
              <w:rPr>
                <w:rFonts w:ascii="Cambria" w:eastAsia="Cambria" w:hAnsi="Cambria" w:cs="Cambria"/>
                <w:sz w:val="20"/>
              </w:rPr>
            </w:pPr>
          </w:p>
          <w:p w:rsidR="00CE53D6" w:rsidRDefault="00CE53D6">
            <w:pPr>
              <w:ind w:right="10"/>
              <w:rPr>
                <w:rFonts w:ascii="Cambria" w:eastAsia="Cambria" w:hAnsi="Cambria" w:cs="Cambria"/>
                <w:sz w:val="20"/>
              </w:rPr>
            </w:pPr>
          </w:p>
          <w:p w:rsidR="00CE53D6" w:rsidRDefault="00CE53D6">
            <w:pPr>
              <w:ind w:right="10"/>
              <w:rPr>
                <w:rFonts w:ascii="Cambria" w:eastAsia="Cambria" w:hAnsi="Cambria" w:cs="Cambria"/>
                <w:sz w:val="20"/>
              </w:rPr>
            </w:pPr>
          </w:p>
          <w:p w:rsidR="00CE53D6" w:rsidRDefault="00CE53D6">
            <w:pPr>
              <w:ind w:right="10"/>
              <w:rPr>
                <w:rFonts w:ascii="Cambria" w:eastAsia="Cambria" w:hAnsi="Cambria" w:cs="Cambria"/>
                <w:sz w:val="20"/>
              </w:rPr>
            </w:pPr>
          </w:p>
          <w:p w:rsidR="00AA0371" w:rsidRDefault="007F296B">
            <w:pPr>
              <w:ind w:right="10"/>
            </w:pPr>
            <w:r>
              <w:rPr>
                <w:rFonts w:ascii="Cambria" w:eastAsia="Cambria" w:hAnsi="Cambria" w:cs="Cambria"/>
                <w:sz w:val="20"/>
              </w:rPr>
              <w:t>Yüksek</w:t>
            </w:r>
            <w:r w:rsidR="00CE53D6">
              <w:rPr>
                <w:rFonts w:ascii="Cambria" w:eastAsia="Cambria" w:hAnsi="Cambria" w:cs="Cambria"/>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tcPr>
          <w:p w:rsidR="007F296B" w:rsidRPr="007F296B" w:rsidRDefault="007F296B" w:rsidP="007F296B">
            <w:pPr>
              <w:pStyle w:val="ListeParagraf"/>
              <w:numPr>
                <w:ilvl w:val="0"/>
                <w:numId w:val="5"/>
              </w:numPr>
              <w:ind w:left="397"/>
              <w:rPr>
                <w:rFonts w:ascii="Cambria" w:hAnsi="Cambria"/>
                <w:sz w:val="20"/>
                <w:szCs w:val="20"/>
              </w:rPr>
            </w:pPr>
            <w:r w:rsidRPr="007F296B">
              <w:rPr>
                <w:rFonts w:ascii="Cambria" w:hAnsi="Cambria"/>
                <w:sz w:val="20"/>
                <w:szCs w:val="20"/>
              </w:rPr>
              <w:t>Bütçe hazırlık çalışmalarının birimin politika ve önceliklerine göre yürütülmemesi birimin fonksiyonlarını yerine getirmesini engeller.</w:t>
            </w:r>
          </w:p>
          <w:p w:rsidR="007F296B" w:rsidRDefault="007F296B" w:rsidP="007F296B">
            <w:pPr>
              <w:pStyle w:val="ListeParagraf"/>
              <w:numPr>
                <w:ilvl w:val="0"/>
                <w:numId w:val="5"/>
              </w:numPr>
              <w:ind w:left="397"/>
            </w:pPr>
            <w:r w:rsidRPr="007F296B">
              <w:rPr>
                <w:rFonts w:ascii="Cambria" w:hAnsi="Cambria"/>
                <w:sz w:val="20"/>
                <w:szCs w:val="20"/>
              </w:rPr>
              <w:t>Kaynakların doğru tahsis edilmemesi.</w:t>
            </w:r>
          </w:p>
          <w:p w:rsidR="00AA0371" w:rsidRPr="007F296B" w:rsidRDefault="00AA0371" w:rsidP="007F296B">
            <w:pPr>
              <w:pStyle w:val="ListeParagraf"/>
              <w:ind w:left="255"/>
              <w:jc w:val="both"/>
              <w:rPr>
                <w:rFonts w:ascii="Cambria" w:hAnsi="Cambria"/>
                <w:sz w:val="20"/>
                <w:szCs w:val="20"/>
              </w:rPr>
            </w:pPr>
          </w:p>
        </w:tc>
        <w:tc>
          <w:tcPr>
            <w:tcW w:w="2634" w:type="dxa"/>
            <w:tcBorders>
              <w:top w:val="single" w:sz="4" w:space="0" w:color="000000"/>
              <w:left w:val="single" w:sz="4" w:space="0" w:color="000000"/>
              <w:bottom w:val="single" w:sz="4" w:space="0" w:color="000000"/>
              <w:right w:val="single" w:sz="4" w:space="0" w:color="000000"/>
            </w:tcBorders>
            <w:shd w:val="clear" w:color="auto" w:fill="E0E0E0"/>
          </w:tcPr>
          <w:p w:rsidR="00AA0371" w:rsidRPr="007F296B" w:rsidRDefault="007F296B" w:rsidP="007F296B">
            <w:pPr>
              <w:pStyle w:val="ListeParagraf"/>
              <w:numPr>
                <w:ilvl w:val="0"/>
                <w:numId w:val="5"/>
              </w:numPr>
              <w:ind w:left="318" w:hanging="284"/>
              <w:rPr>
                <w:rFonts w:ascii="Cambria" w:hAnsi="Cambria"/>
                <w:sz w:val="20"/>
                <w:szCs w:val="20"/>
              </w:rPr>
            </w:pPr>
            <w:r w:rsidRPr="007F296B">
              <w:rPr>
                <w:rFonts w:ascii="Cambria" w:hAnsi="Cambria"/>
                <w:sz w:val="20"/>
                <w:szCs w:val="20"/>
              </w:rPr>
              <w:t>Bütçenin yasal mevzuata göre hazırlanması için personelin bilinçlendirilmesi.</w:t>
            </w:r>
          </w:p>
          <w:p w:rsidR="007F296B" w:rsidRDefault="007F296B" w:rsidP="007F296B">
            <w:pPr>
              <w:pStyle w:val="ListeParagraf"/>
              <w:numPr>
                <w:ilvl w:val="0"/>
                <w:numId w:val="5"/>
              </w:numPr>
              <w:ind w:left="318" w:hanging="284"/>
            </w:pPr>
            <w:r w:rsidRPr="007F296B">
              <w:rPr>
                <w:rFonts w:ascii="Cambria" w:hAnsi="Cambria"/>
                <w:sz w:val="20"/>
                <w:szCs w:val="20"/>
              </w:rPr>
              <w:t>Bütçe hazırlık sürecinde şube müdürünün de katılımını sağlanarak iç haberleşme ve</w:t>
            </w:r>
            <w:r>
              <w:t xml:space="preserve"> </w:t>
            </w:r>
            <w:r w:rsidRPr="007050EF">
              <w:rPr>
                <w:rFonts w:ascii="Cambria" w:hAnsi="Cambria"/>
                <w:sz w:val="20"/>
                <w:szCs w:val="20"/>
              </w:rPr>
              <w:t>koordinasyonu sağlamak.</w:t>
            </w:r>
          </w:p>
        </w:tc>
      </w:tr>
      <w:tr w:rsidR="007F296B" w:rsidTr="00CE53D6">
        <w:trPr>
          <w:trHeight w:val="720"/>
        </w:trPr>
        <w:tc>
          <w:tcPr>
            <w:tcW w:w="2127"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rPr>
                <w:rFonts w:ascii="Cambria" w:eastAsia="Cambria" w:hAnsi="Cambria" w:cs="Cambria"/>
                <w:sz w:val="20"/>
              </w:rPr>
            </w:pPr>
          </w:p>
          <w:p w:rsidR="00AA0371" w:rsidRDefault="007050EF">
            <w:r>
              <w:rPr>
                <w:rFonts w:ascii="Cambria" w:eastAsia="Cambria" w:hAnsi="Cambria" w:cs="Cambria"/>
                <w:sz w:val="20"/>
              </w:rPr>
              <w:t>Bütçe uygulama işlemleri</w:t>
            </w:r>
            <w:r w:rsidR="00CE53D6">
              <w:rPr>
                <w:rFonts w:ascii="Cambria" w:eastAsia="Cambria" w:hAnsi="Cambria" w:cs="Cambria"/>
                <w:sz w:val="20"/>
              </w:rPr>
              <w:t xml:space="preserve"> </w:t>
            </w:r>
          </w:p>
        </w:tc>
        <w:tc>
          <w:tcPr>
            <w:tcW w:w="2844"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ind w:left="1"/>
              <w:rPr>
                <w:rFonts w:ascii="Cambria" w:eastAsia="Cambria" w:hAnsi="Cambria" w:cs="Cambria"/>
                <w:sz w:val="20"/>
              </w:rPr>
            </w:pPr>
          </w:p>
          <w:p w:rsidR="00436B72" w:rsidRPr="00902444" w:rsidRDefault="00436B72" w:rsidP="00436B72">
            <w:pPr>
              <w:ind w:left="1"/>
              <w:rPr>
                <w:rFonts w:ascii="Cambria" w:hAnsi="Cambria"/>
                <w:sz w:val="20"/>
              </w:rPr>
            </w:pPr>
            <w:r>
              <w:rPr>
                <w:rFonts w:ascii="Cambria" w:hAnsi="Cambria"/>
                <w:sz w:val="20"/>
              </w:rPr>
              <w:t>İrfan CANDAŞ</w:t>
            </w:r>
          </w:p>
          <w:p w:rsidR="007050EF" w:rsidRDefault="00436B72" w:rsidP="00436B72">
            <w:pPr>
              <w:ind w:left="1"/>
            </w:pPr>
            <w:r w:rsidRPr="00902444">
              <w:rPr>
                <w:rFonts w:ascii="Cambria" w:hAnsi="Cambria"/>
                <w:sz w:val="20"/>
              </w:rPr>
              <w:t>Mustafa AYYILDIZ</w:t>
            </w:r>
            <w:bookmarkStart w:id="0" w:name="_GoBack"/>
            <w:bookmarkEnd w:id="0"/>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7050EF">
            <w:r>
              <w:rPr>
                <w:rFonts w:ascii="Cambria" w:eastAsia="Cambria" w:hAnsi="Cambria" w:cs="Cambria"/>
                <w:sz w:val="20"/>
              </w:rPr>
              <w:t>Yüksek</w:t>
            </w:r>
            <w:r w:rsidR="00CE53D6">
              <w:rPr>
                <w:rFonts w:ascii="Cambria" w:eastAsia="Cambria" w:hAnsi="Cambria" w:cs="Cambria"/>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050EF" w:rsidRDefault="007050EF" w:rsidP="007050EF">
            <w:pPr>
              <w:pStyle w:val="ListeParagraf"/>
              <w:numPr>
                <w:ilvl w:val="0"/>
                <w:numId w:val="6"/>
              </w:numPr>
              <w:rPr>
                <w:rFonts w:ascii="Cambria" w:hAnsi="Cambria"/>
                <w:sz w:val="20"/>
                <w:szCs w:val="20"/>
              </w:rPr>
            </w:pPr>
            <w:r w:rsidRPr="007050EF">
              <w:rPr>
                <w:rFonts w:ascii="Cambria" w:hAnsi="Cambria"/>
                <w:sz w:val="20"/>
                <w:szCs w:val="20"/>
              </w:rPr>
              <w:t>İhtiyaç duyulan kaynağın zamanında temin edilmemesi</w:t>
            </w:r>
          </w:p>
          <w:p w:rsidR="007050EF" w:rsidRPr="007050EF" w:rsidRDefault="007050EF" w:rsidP="007050EF">
            <w:pPr>
              <w:pStyle w:val="ListeParagraf"/>
              <w:numPr>
                <w:ilvl w:val="0"/>
                <w:numId w:val="6"/>
              </w:numPr>
              <w:rPr>
                <w:rFonts w:ascii="Cambria" w:hAnsi="Cambria"/>
                <w:sz w:val="20"/>
                <w:szCs w:val="20"/>
              </w:rPr>
            </w:pPr>
            <w:r w:rsidRPr="007050EF">
              <w:rPr>
                <w:rFonts w:ascii="Cambria" w:hAnsi="Cambria"/>
                <w:sz w:val="20"/>
                <w:szCs w:val="20"/>
              </w:rPr>
              <w:t>İtibar kaybı.</w:t>
            </w:r>
          </w:p>
        </w:tc>
        <w:tc>
          <w:tcPr>
            <w:tcW w:w="26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050EF" w:rsidRPr="007050EF" w:rsidRDefault="007050EF" w:rsidP="007050EF">
            <w:pPr>
              <w:pStyle w:val="ListeParagraf"/>
              <w:numPr>
                <w:ilvl w:val="0"/>
                <w:numId w:val="6"/>
              </w:numPr>
              <w:ind w:left="318" w:right="33"/>
              <w:rPr>
                <w:rFonts w:ascii="Cambria" w:eastAsia="Cambria" w:hAnsi="Cambria" w:cs="Cambria"/>
                <w:sz w:val="20"/>
              </w:rPr>
            </w:pPr>
            <w:r w:rsidRPr="007050EF">
              <w:rPr>
                <w:rFonts w:ascii="Cambria" w:eastAsia="Cambria" w:hAnsi="Cambria" w:cs="Cambria"/>
                <w:sz w:val="20"/>
              </w:rPr>
              <w:t>Mevzuatı takip etmek.</w:t>
            </w:r>
          </w:p>
          <w:p w:rsidR="00AA0371" w:rsidRDefault="007050EF" w:rsidP="007050EF">
            <w:pPr>
              <w:pStyle w:val="ListeParagraf"/>
              <w:numPr>
                <w:ilvl w:val="0"/>
                <w:numId w:val="6"/>
              </w:numPr>
              <w:ind w:left="318" w:right="33"/>
            </w:pPr>
            <w:r w:rsidRPr="007050EF">
              <w:rPr>
                <w:rFonts w:ascii="Cambria" w:eastAsia="Cambria" w:hAnsi="Cambria" w:cs="Cambria"/>
                <w:sz w:val="20"/>
              </w:rPr>
              <w:t>Bütçeyi devamlı kontrol etmek.</w:t>
            </w:r>
            <w:r w:rsidR="00CE53D6" w:rsidRPr="007050EF">
              <w:rPr>
                <w:rFonts w:ascii="Cambria" w:eastAsia="Cambria" w:hAnsi="Cambria" w:cs="Cambria"/>
                <w:sz w:val="20"/>
              </w:rPr>
              <w:t xml:space="preserve"> </w:t>
            </w:r>
          </w:p>
        </w:tc>
      </w:tr>
      <w:tr w:rsidR="007F296B" w:rsidTr="00CE53D6">
        <w:trPr>
          <w:trHeight w:val="545"/>
        </w:trPr>
        <w:tc>
          <w:tcPr>
            <w:tcW w:w="2127"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jc w:val="both"/>
              <w:rPr>
                <w:rFonts w:ascii="Cambria" w:eastAsia="Cambria" w:hAnsi="Cambria" w:cs="Cambria"/>
                <w:sz w:val="20"/>
              </w:rPr>
            </w:pPr>
          </w:p>
          <w:p w:rsidR="00CE53D6" w:rsidRDefault="00CE53D6">
            <w:pPr>
              <w:jc w:val="both"/>
              <w:rPr>
                <w:rFonts w:ascii="Cambria" w:eastAsia="Cambria" w:hAnsi="Cambria" w:cs="Cambria"/>
                <w:sz w:val="20"/>
              </w:rPr>
            </w:pPr>
          </w:p>
          <w:p w:rsidR="00CE53D6" w:rsidRDefault="00CE53D6">
            <w:pPr>
              <w:jc w:val="both"/>
              <w:rPr>
                <w:rFonts w:ascii="Cambria" w:eastAsia="Cambria" w:hAnsi="Cambria" w:cs="Cambria"/>
                <w:sz w:val="20"/>
              </w:rPr>
            </w:pPr>
          </w:p>
          <w:p w:rsidR="00AA0371" w:rsidRPr="00CE53D6" w:rsidRDefault="007050EF">
            <w:pPr>
              <w:jc w:val="both"/>
              <w:rPr>
                <w:rFonts w:ascii="Cambria" w:eastAsia="Cambria" w:hAnsi="Cambria" w:cs="Cambria"/>
                <w:sz w:val="20"/>
              </w:rPr>
            </w:pPr>
            <w:r>
              <w:rPr>
                <w:rFonts w:ascii="Cambria" w:eastAsia="Cambria" w:hAnsi="Cambria" w:cs="Cambria"/>
                <w:sz w:val="20"/>
              </w:rPr>
              <w:t>Teknik Şartname</w:t>
            </w:r>
            <w:r w:rsidR="00CE53D6">
              <w:rPr>
                <w:rFonts w:ascii="Cambria" w:eastAsia="Cambria" w:hAnsi="Cambria" w:cs="Cambria"/>
                <w:sz w:val="20"/>
              </w:rPr>
              <w:t xml:space="preserve"> </w:t>
            </w:r>
          </w:p>
        </w:tc>
        <w:tc>
          <w:tcPr>
            <w:tcW w:w="284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7050EF">
            <w:pPr>
              <w:ind w:left="1"/>
            </w:pPr>
            <w:r>
              <w:rPr>
                <w:rFonts w:ascii="Cambria" w:eastAsia="Cambria" w:hAnsi="Cambria" w:cs="Cambria"/>
                <w:sz w:val="20"/>
              </w:rPr>
              <w:t>Mustafa AYYILDIZ</w:t>
            </w:r>
          </w:p>
        </w:tc>
        <w:tc>
          <w:tcPr>
            <w:tcW w:w="1055"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AA0371" w:rsidRDefault="007050EF">
            <w:r>
              <w:rPr>
                <w:rFonts w:ascii="Cambria" w:eastAsia="Cambria" w:hAnsi="Cambria" w:cs="Cambria"/>
                <w:sz w:val="20"/>
              </w:rPr>
              <w:t>Yüksek</w:t>
            </w:r>
            <w:r w:rsidR="00CE53D6">
              <w:rPr>
                <w:rFonts w:ascii="Cambria" w:eastAsia="Cambria" w:hAnsi="Cambria" w:cs="Cambria"/>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050EF" w:rsidRDefault="007050EF" w:rsidP="007050EF">
            <w:pPr>
              <w:pStyle w:val="ListeParagraf"/>
              <w:numPr>
                <w:ilvl w:val="0"/>
                <w:numId w:val="7"/>
              </w:numPr>
              <w:ind w:left="255"/>
              <w:rPr>
                <w:rFonts w:ascii="Cambria" w:eastAsia="Cambria" w:hAnsi="Cambria" w:cs="Cambria"/>
                <w:sz w:val="20"/>
              </w:rPr>
            </w:pPr>
            <w:r w:rsidRPr="007050EF">
              <w:rPr>
                <w:rFonts w:ascii="Cambria" w:eastAsia="Cambria" w:hAnsi="Cambria" w:cs="Cambria"/>
                <w:sz w:val="20"/>
              </w:rPr>
              <w:t xml:space="preserve">Teknik şartnamede yer alan hükümlerin eksik yapılması durumunda tereddüde yanlış anlamalara ve bir </w:t>
            </w:r>
            <w:r w:rsidRPr="007050EF">
              <w:rPr>
                <w:rFonts w:ascii="Cambria" w:eastAsia="Cambria" w:hAnsi="Cambria" w:cs="Cambria"/>
                <w:sz w:val="20"/>
              </w:rPr>
              <w:lastRenderedPageBreak/>
              <w:t>isteğin diğeri ile çelişmesine neden olması.</w:t>
            </w:r>
          </w:p>
          <w:p w:rsidR="007050EF" w:rsidRDefault="007050EF" w:rsidP="007050EF">
            <w:pPr>
              <w:pStyle w:val="ListeParagraf"/>
              <w:numPr>
                <w:ilvl w:val="0"/>
                <w:numId w:val="7"/>
              </w:numPr>
              <w:ind w:left="255"/>
            </w:pPr>
            <w:r w:rsidRPr="007050EF">
              <w:rPr>
                <w:rFonts w:ascii="Cambria" w:eastAsia="Cambria" w:hAnsi="Cambria" w:cs="Cambria"/>
                <w:sz w:val="20"/>
              </w:rPr>
              <w:t>Birimin itibarı zedelenir.</w:t>
            </w:r>
          </w:p>
        </w:tc>
        <w:tc>
          <w:tcPr>
            <w:tcW w:w="2634" w:type="dxa"/>
            <w:tcBorders>
              <w:top w:val="single" w:sz="4" w:space="0" w:color="000000"/>
              <w:left w:val="single" w:sz="4" w:space="0" w:color="000000"/>
              <w:bottom w:val="single" w:sz="4" w:space="0" w:color="000000"/>
              <w:right w:val="single" w:sz="4" w:space="0" w:color="000000"/>
            </w:tcBorders>
            <w:shd w:val="clear" w:color="auto" w:fill="E0E0E0"/>
          </w:tcPr>
          <w:p w:rsidR="00AA0371" w:rsidRDefault="007050EF" w:rsidP="007050EF">
            <w:pPr>
              <w:pStyle w:val="ListeParagraf"/>
              <w:numPr>
                <w:ilvl w:val="0"/>
                <w:numId w:val="7"/>
              </w:numPr>
              <w:ind w:left="318" w:right="33" w:hanging="318"/>
            </w:pPr>
            <w:r w:rsidRPr="007050EF">
              <w:rPr>
                <w:rFonts w:ascii="Cambria" w:eastAsia="Cambria" w:hAnsi="Cambria" w:cs="Cambria"/>
                <w:sz w:val="20"/>
              </w:rPr>
              <w:lastRenderedPageBreak/>
              <w:t>Teknik şartnamede yer alacak hükümlerin açık, net ve kapsamlı olması gerekir</w:t>
            </w:r>
            <w:r w:rsidR="00CE53D6" w:rsidRPr="007050EF">
              <w:rPr>
                <w:rFonts w:ascii="Cambria" w:eastAsia="Cambria" w:hAnsi="Cambria" w:cs="Cambria"/>
                <w:sz w:val="20"/>
              </w:rPr>
              <w:t xml:space="preserve">. </w:t>
            </w:r>
          </w:p>
        </w:tc>
      </w:tr>
      <w:tr w:rsidR="007F296B" w:rsidTr="00CE53D6">
        <w:trPr>
          <w:trHeight w:val="713"/>
        </w:trPr>
        <w:tc>
          <w:tcPr>
            <w:tcW w:w="212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7050EF">
            <w:r>
              <w:rPr>
                <w:rFonts w:ascii="Cambria" w:eastAsia="Cambria" w:hAnsi="Cambria" w:cs="Cambria"/>
                <w:sz w:val="20"/>
              </w:rPr>
              <w:lastRenderedPageBreak/>
              <w:t>Süreli yazıların zamanında hazırlanması, ilgili yerlere gönderilmesi</w:t>
            </w:r>
            <w:r w:rsidR="00CE53D6">
              <w:rPr>
                <w:rFonts w:ascii="Cambria" w:eastAsia="Cambria" w:hAnsi="Cambria" w:cs="Cambria"/>
                <w:sz w:val="20"/>
              </w:rPr>
              <w:t xml:space="preserve"> </w:t>
            </w:r>
          </w:p>
        </w:tc>
        <w:tc>
          <w:tcPr>
            <w:tcW w:w="2844" w:type="dxa"/>
            <w:tcBorders>
              <w:top w:val="single" w:sz="4" w:space="0" w:color="000000"/>
              <w:left w:val="single" w:sz="4" w:space="0" w:color="000000"/>
              <w:bottom w:val="single" w:sz="4" w:space="0" w:color="000000"/>
              <w:right w:val="single" w:sz="4" w:space="0" w:color="000000"/>
            </w:tcBorders>
            <w:shd w:val="clear" w:color="auto" w:fill="E0E0E0"/>
          </w:tcPr>
          <w:p w:rsidR="00AA0371" w:rsidRDefault="007050EF" w:rsidP="007A56C1">
            <w:pPr>
              <w:ind w:left="1"/>
            </w:pPr>
            <w:r>
              <w:rPr>
                <w:rFonts w:ascii="Cambria" w:eastAsia="Cambria" w:hAnsi="Cambria" w:cs="Cambria"/>
                <w:sz w:val="20"/>
              </w:rPr>
              <w:t xml:space="preserve">Duygu </w:t>
            </w:r>
            <w:r w:rsidR="007A56C1">
              <w:rPr>
                <w:rFonts w:ascii="Cambria" w:eastAsia="Cambria" w:hAnsi="Cambria" w:cs="Cambria"/>
                <w:sz w:val="20"/>
              </w:rPr>
              <w:t>ATALAY</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7050EF">
            <w:r>
              <w:rPr>
                <w:rFonts w:ascii="Cambria" w:eastAsia="Cambria" w:hAnsi="Cambria" w:cs="Cambria"/>
                <w:sz w:val="20"/>
              </w:rPr>
              <w:t>Orta</w:t>
            </w:r>
            <w:r w:rsidR="00CE53D6">
              <w:rPr>
                <w:rFonts w:ascii="Cambria" w:eastAsia="Cambria" w:hAnsi="Cambria" w:cs="Cambria"/>
                <w:sz w:val="20"/>
              </w:rPr>
              <w:t xml:space="preserve">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Pr="007050EF" w:rsidRDefault="007050EF" w:rsidP="007050EF">
            <w:pPr>
              <w:pStyle w:val="ListeParagraf"/>
              <w:numPr>
                <w:ilvl w:val="0"/>
                <w:numId w:val="8"/>
              </w:numPr>
              <w:ind w:left="255" w:hanging="283"/>
              <w:rPr>
                <w:rFonts w:ascii="Cambria" w:hAnsi="Cambria"/>
                <w:sz w:val="20"/>
                <w:szCs w:val="20"/>
              </w:rPr>
            </w:pPr>
            <w:r>
              <w:rPr>
                <w:rFonts w:ascii="Cambria" w:hAnsi="Cambria"/>
                <w:sz w:val="20"/>
                <w:szCs w:val="20"/>
              </w:rPr>
              <w:t xml:space="preserve"> </w:t>
            </w:r>
            <w:r w:rsidRPr="007050EF">
              <w:rPr>
                <w:rFonts w:ascii="Cambria" w:hAnsi="Cambria"/>
                <w:sz w:val="20"/>
                <w:szCs w:val="20"/>
              </w:rPr>
              <w:t>İtibar kaybı</w:t>
            </w:r>
          </w:p>
          <w:p w:rsidR="007050EF" w:rsidRDefault="007050EF" w:rsidP="00CE53D6">
            <w:pPr>
              <w:pStyle w:val="ListeParagraf"/>
              <w:numPr>
                <w:ilvl w:val="0"/>
                <w:numId w:val="8"/>
              </w:numPr>
              <w:ind w:left="255" w:hanging="283"/>
              <w:rPr>
                <w:rFonts w:ascii="Cambria" w:hAnsi="Cambria"/>
                <w:sz w:val="20"/>
                <w:szCs w:val="20"/>
              </w:rPr>
            </w:pPr>
            <w:r w:rsidRPr="007050EF">
              <w:rPr>
                <w:rFonts w:ascii="Cambria" w:hAnsi="Cambria"/>
                <w:sz w:val="20"/>
                <w:szCs w:val="20"/>
              </w:rPr>
              <w:t>İdare ve personele olan güvenin kaybolması</w:t>
            </w:r>
          </w:p>
          <w:p w:rsidR="00CE53D6" w:rsidRPr="00CE53D6" w:rsidRDefault="00CE53D6" w:rsidP="00CE53D6">
            <w:pPr>
              <w:pStyle w:val="ListeParagraf"/>
              <w:numPr>
                <w:ilvl w:val="0"/>
                <w:numId w:val="8"/>
              </w:numPr>
              <w:ind w:left="255" w:hanging="283"/>
              <w:rPr>
                <w:rFonts w:ascii="Cambria" w:hAnsi="Cambria"/>
                <w:sz w:val="20"/>
                <w:szCs w:val="20"/>
              </w:rPr>
            </w:pPr>
            <w:r>
              <w:rPr>
                <w:rFonts w:ascii="Cambria" w:hAnsi="Cambria"/>
                <w:sz w:val="20"/>
                <w:szCs w:val="20"/>
              </w:rPr>
              <w:t>Görevin aksaması</w:t>
            </w:r>
          </w:p>
        </w:tc>
        <w:tc>
          <w:tcPr>
            <w:tcW w:w="26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rsidP="00CE53D6">
            <w:pPr>
              <w:pStyle w:val="ListeParagraf"/>
              <w:numPr>
                <w:ilvl w:val="0"/>
                <w:numId w:val="8"/>
              </w:numPr>
              <w:ind w:left="318" w:right="33" w:hanging="283"/>
            </w:pPr>
            <w:r w:rsidRPr="00CE53D6">
              <w:rPr>
                <w:rFonts w:ascii="Cambria" w:eastAsia="Cambria" w:hAnsi="Cambria" w:cs="Cambria"/>
                <w:sz w:val="20"/>
              </w:rPr>
              <w:t xml:space="preserve">Takip çizelgesi oluşturulması. </w:t>
            </w:r>
          </w:p>
        </w:tc>
      </w:tr>
      <w:tr w:rsidR="007F296B" w:rsidTr="00CE53D6">
        <w:trPr>
          <w:trHeight w:val="1183"/>
        </w:trPr>
        <w:tc>
          <w:tcPr>
            <w:tcW w:w="2127" w:type="dxa"/>
            <w:tcBorders>
              <w:top w:val="single" w:sz="4" w:space="0" w:color="000000"/>
              <w:left w:val="single" w:sz="4" w:space="0" w:color="000000"/>
              <w:bottom w:val="single" w:sz="4" w:space="0" w:color="000000"/>
              <w:right w:val="single" w:sz="4" w:space="0" w:color="000000"/>
            </w:tcBorders>
            <w:shd w:val="clear" w:color="auto" w:fill="E0E0E0"/>
          </w:tcPr>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CE53D6" w:rsidRDefault="00CE53D6">
            <w:pPr>
              <w:rPr>
                <w:rFonts w:ascii="Cambria" w:eastAsia="Cambria" w:hAnsi="Cambria" w:cs="Cambria"/>
                <w:sz w:val="20"/>
              </w:rPr>
            </w:pPr>
          </w:p>
          <w:p w:rsidR="00AA0371" w:rsidRDefault="00CE53D6">
            <w:r>
              <w:rPr>
                <w:rFonts w:ascii="Cambria" w:eastAsia="Cambria" w:hAnsi="Cambria" w:cs="Cambria"/>
                <w:sz w:val="20"/>
              </w:rPr>
              <w:t>Görevden ayrılan personelin durumu</w:t>
            </w:r>
          </w:p>
        </w:tc>
        <w:tc>
          <w:tcPr>
            <w:tcW w:w="284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pPr>
              <w:ind w:left="1"/>
            </w:pPr>
            <w:r>
              <w:rPr>
                <w:rFonts w:ascii="Cambria" w:eastAsia="Cambria" w:hAnsi="Cambria" w:cs="Cambria"/>
                <w:sz w:val="20"/>
              </w:rPr>
              <w:t xml:space="preserve">Tüm personel </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r>
              <w:rPr>
                <w:rFonts w:ascii="Cambria" w:eastAsia="Cambria" w:hAnsi="Cambria" w:cs="Cambria"/>
                <w:sz w:val="20"/>
              </w:rPr>
              <w:t xml:space="preserve">Orta  </w:t>
            </w:r>
          </w:p>
        </w:tc>
        <w:tc>
          <w:tcPr>
            <w:tcW w:w="28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rsidP="00CE53D6">
            <w:pPr>
              <w:pStyle w:val="ListeParagraf"/>
              <w:numPr>
                <w:ilvl w:val="0"/>
                <w:numId w:val="9"/>
              </w:numPr>
              <w:ind w:left="114" w:hanging="114"/>
            </w:pPr>
            <w:r>
              <w:rPr>
                <w:rFonts w:ascii="Cambria" w:eastAsia="Cambria" w:hAnsi="Cambria" w:cs="Cambria"/>
                <w:sz w:val="20"/>
              </w:rPr>
              <w:t xml:space="preserve">     </w:t>
            </w:r>
            <w:r w:rsidRPr="00CE53D6">
              <w:rPr>
                <w:rFonts w:ascii="Cambria" w:eastAsia="Cambria" w:hAnsi="Cambria" w:cs="Cambria"/>
                <w:sz w:val="20"/>
              </w:rPr>
              <w:t xml:space="preserve">Görevin aksamaması </w:t>
            </w:r>
          </w:p>
        </w:tc>
        <w:tc>
          <w:tcPr>
            <w:tcW w:w="26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0371" w:rsidRDefault="00CE53D6" w:rsidP="00CE53D6">
            <w:pPr>
              <w:pStyle w:val="ListeParagraf"/>
              <w:numPr>
                <w:ilvl w:val="0"/>
                <w:numId w:val="9"/>
              </w:numPr>
              <w:ind w:left="318" w:right="33"/>
            </w:pPr>
            <w:r w:rsidRPr="00CE53D6">
              <w:rPr>
                <w:rFonts w:ascii="Cambria" w:eastAsia="Cambria" w:hAnsi="Cambria" w:cs="Cambria"/>
                <w:sz w:val="20"/>
              </w:rPr>
              <w:t xml:space="preserve">Görevlendirilen personelin gerekli donanıma sahip olmasını sağlamaya yönelik yöntemleri belirlemek( örneğin, görevinden ayrılan personel yürütülmekte olan işlerin listesini süreli işlerin listesini vermek) tüm personelin görev tanımları açık ve anlaşılır bir şekilde yapmak. </w:t>
            </w:r>
          </w:p>
        </w:tc>
      </w:tr>
    </w:tbl>
    <w:p w:rsidR="00AA0371" w:rsidRDefault="00CE53D6">
      <w:pPr>
        <w:spacing w:after="0"/>
      </w:pPr>
      <w:r>
        <w:rPr>
          <w:rFonts w:ascii="Cambria" w:eastAsia="Cambria" w:hAnsi="Cambria" w:cs="Cambria"/>
          <w:sz w:val="20"/>
        </w:rPr>
        <w:t xml:space="preserve"> </w:t>
      </w:r>
    </w:p>
    <w:p w:rsidR="00AA0371" w:rsidRDefault="00CE53D6">
      <w:pPr>
        <w:spacing w:after="0"/>
        <w:ind w:right="8308"/>
        <w:jc w:val="right"/>
      </w:pPr>
      <w:r>
        <w:rPr>
          <w:rFonts w:ascii="Cambria" w:eastAsia="Cambria" w:hAnsi="Cambria" w:cs="Cambria"/>
          <w:sz w:val="20"/>
        </w:rPr>
        <w:t xml:space="preserve"> </w:t>
      </w:r>
    </w:p>
    <w:sectPr w:rsidR="00AA0371" w:rsidSect="00DF2724">
      <w:pgSz w:w="11906" w:h="16838"/>
      <w:pgMar w:top="1423" w:right="1428" w:bottom="1440" w:left="1419"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14D0"/>
    <w:multiLevelType w:val="hybridMultilevel"/>
    <w:tmpl w:val="0F7C6E6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 w15:restartNumberingAfterBreak="0">
    <w:nsid w:val="2B3B3A9C"/>
    <w:multiLevelType w:val="hybridMultilevel"/>
    <w:tmpl w:val="74A4405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2" w15:restartNumberingAfterBreak="0">
    <w:nsid w:val="2EB936F5"/>
    <w:multiLevelType w:val="hybridMultilevel"/>
    <w:tmpl w:val="9664DF48"/>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3" w15:restartNumberingAfterBreak="0">
    <w:nsid w:val="36B153DB"/>
    <w:multiLevelType w:val="hybridMultilevel"/>
    <w:tmpl w:val="FB22D6A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4" w15:restartNumberingAfterBreak="0">
    <w:nsid w:val="417853BD"/>
    <w:multiLevelType w:val="hybridMultilevel"/>
    <w:tmpl w:val="889C5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3A4526"/>
    <w:multiLevelType w:val="hybridMultilevel"/>
    <w:tmpl w:val="F9F49590"/>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6" w15:restartNumberingAfterBreak="0">
    <w:nsid w:val="4F6A6C4E"/>
    <w:multiLevelType w:val="hybridMultilevel"/>
    <w:tmpl w:val="85C44DE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7" w15:restartNumberingAfterBreak="0">
    <w:nsid w:val="51CA7D5D"/>
    <w:multiLevelType w:val="hybridMultilevel"/>
    <w:tmpl w:val="D6F4CAB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8" w15:restartNumberingAfterBreak="0">
    <w:nsid w:val="608633EF"/>
    <w:multiLevelType w:val="hybridMultilevel"/>
    <w:tmpl w:val="9F5C1D58"/>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9" w15:restartNumberingAfterBreak="0">
    <w:nsid w:val="75AA5CB6"/>
    <w:multiLevelType w:val="hybridMultilevel"/>
    <w:tmpl w:val="3304A81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71"/>
    <w:rsid w:val="00436B72"/>
    <w:rsid w:val="00475809"/>
    <w:rsid w:val="007050EF"/>
    <w:rsid w:val="007A56C1"/>
    <w:rsid w:val="007F296B"/>
    <w:rsid w:val="00902444"/>
    <w:rsid w:val="00AA0371"/>
    <w:rsid w:val="00CE53D6"/>
    <w:rsid w:val="00D905C5"/>
    <w:rsid w:val="00DF2724"/>
    <w:rsid w:val="00F70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5103"/>
  <w15:docId w15:val="{7AF8EBF2-F463-442B-86A6-1A0747B3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72"/>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0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admin@ogr.ktu.edu.tr</cp:lastModifiedBy>
  <cp:revision>2</cp:revision>
  <dcterms:created xsi:type="dcterms:W3CDTF">2022-03-29T07:52:00Z</dcterms:created>
  <dcterms:modified xsi:type="dcterms:W3CDTF">2022-03-29T07:52:00Z</dcterms:modified>
</cp:coreProperties>
</file>