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470"/>
        <w:gridCol w:w="3350"/>
        <w:gridCol w:w="6389"/>
      </w:tblGrid>
      <w:tr w:rsidR="00800A69" w:rsidRPr="00174CC8" w:rsidTr="008A6B0E">
        <w:trPr>
          <w:trHeight w:val="1077"/>
        </w:trPr>
        <w:tc>
          <w:tcPr>
            <w:tcW w:w="11209" w:type="dxa"/>
            <w:gridSpan w:val="3"/>
            <w:shd w:val="clear" w:color="auto" w:fill="0099CC"/>
          </w:tcPr>
          <w:p w:rsidR="006D15A6" w:rsidRPr="00174CC8" w:rsidRDefault="006D15A6" w:rsidP="004C6FB7">
            <w:pPr>
              <w:jc w:val="center"/>
              <w:rPr>
                <w:rFonts w:ascii="Cambria" w:hAnsi="Cambria"/>
              </w:rPr>
            </w:pPr>
            <w:r w:rsidRPr="00174CC8">
              <w:rPr>
                <w:rFonts w:ascii="Cambria" w:hAnsi="Cambria"/>
                <w:b/>
                <w:sz w:val="24"/>
              </w:rPr>
              <w:t>T.C.</w:t>
            </w:r>
            <w:r w:rsidRPr="00174CC8">
              <w:rPr>
                <w:rFonts w:ascii="Cambria" w:hAnsi="Cambria"/>
                <w:b/>
                <w:sz w:val="24"/>
              </w:rPr>
              <w:br/>
              <w:t>KARADENİZ TEKNİK ÜNİVERSİTESİ REKTÖRLÜĞÜ</w:t>
            </w:r>
            <w:r w:rsidRPr="00174CC8">
              <w:rPr>
                <w:rFonts w:ascii="Cambria" w:hAnsi="Cambria"/>
                <w:b/>
                <w:sz w:val="24"/>
              </w:rPr>
              <w:br/>
              <w:t>SÜREKLİ EĞİTİM UYGULAMA VE ARAŞTIRMA MERKEZİ MÜDÜRLÜĞÜ</w:t>
            </w:r>
            <w:r w:rsidRPr="00174CC8">
              <w:rPr>
                <w:rFonts w:ascii="Cambria" w:hAnsi="Cambria"/>
                <w:sz w:val="24"/>
              </w:rPr>
              <w:br/>
            </w:r>
            <w:r w:rsidRPr="00174CC8">
              <w:rPr>
                <w:rFonts w:ascii="Cambria" w:hAnsi="Cambria"/>
                <w:b/>
                <w:color w:val="C00000"/>
                <w:sz w:val="28"/>
              </w:rPr>
              <w:t>GÖREV TANIMLARI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 w:val="restart"/>
          </w:tcPr>
          <w:p w:rsidR="006D15A6" w:rsidRPr="00174CC8" w:rsidRDefault="006D15A6" w:rsidP="004C6FB7">
            <w:pPr>
              <w:rPr>
                <w:rFonts w:ascii="Cambria" w:hAnsi="Cambria"/>
              </w:rPr>
            </w:pPr>
            <w:r w:rsidRPr="00174CC8">
              <w:rPr>
                <w:rFonts w:ascii="Cambria" w:hAnsi="Cambria"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3224831C" wp14:editId="3DC6877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60325</wp:posOffset>
                  </wp:positionV>
                  <wp:extent cx="762000" cy="714375"/>
                  <wp:effectExtent l="0" t="0" r="0" b="9525"/>
                  <wp:wrapThrough wrapText="bothSides">
                    <wp:wrapPolygon edited="0">
                      <wp:start x="5940" y="0"/>
                      <wp:lineTo x="0" y="2880"/>
                      <wp:lineTo x="0" y="14976"/>
                      <wp:lineTo x="1620" y="18432"/>
                      <wp:lineTo x="5400" y="21312"/>
                      <wp:lineTo x="5940" y="21312"/>
                      <wp:lineTo x="15120" y="21312"/>
                      <wp:lineTo x="15660" y="21312"/>
                      <wp:lineTo x="19440" y="18432"/>
                      <wp:lineTo x="21060" y="14976"/>
                      <wp:lineTo x="21060" y="2880"/>
                      <wp:lineTo x="15120" y="0"/>
                      <wp:lineTo x="594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BİRİMİ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S</w:t>
            </w:r>
            <w:r w:rsidR="00617723" w:rsidRPr="00174CC8">
              <w:rPr>
                <w:rFonts w:ascii="Cambria" w:hAnsi="Cambria" w:cstheme="minorHAnsi"/>
              </w:rPr>
              <w:t>ürekli</w:t>
            </w:r>
            <w:r w:rsidRPr="00174CC8">
              <w:rPr>
                <w:rFonts w:ascii="Cambria" w:hAnsi="Cambria" w:cstheme="minorHAnsi"/>
              </w:rPr>
              <w:t xml:space="preserve"> E</w:t>
            </w:r>
            <w:r w:rsidR="00617723" w:rsidRPr="00174CC8">
              <w:rPr>
                <w:rFonts w:ascii="Cambria" w:hAnsi="Cambria" w:cstheme="minorHAnsi"/>
              </w:rPr>
              <w:t xml:space="preserve">ğitim </w:t>
            </w:r>
            <w:r w:rsidRPr="00174CC8">
              <w:rPr>
                <w:rFonts w:ascii="Cambria" w:hAnsi="Cambria" w:cstheme="minorHAnsi"/>
              </w:rPr>
              <w:t>U</w:t>
            </w:r>
            <w:r w:rsidR="00617723" w:rsidRPr="00174CC8">
              <w:rPr>
                <w:rFonts w:ascii="Cambria" w:hAnsi="Cambria" w:cstheme="minorHAnsi"/>
              </w:rPr>
              <w:t>ygulama ve Araştırma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erkezi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üdürlüğü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shd w:val="clear" w:color="auto" w:fill="auto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İŞ </w:t>
            </w:r>
            <w:r w:rsidR="000A1B08" w:rsidRPr="00174CC8">
              <w:rPr>
                <w:rFonts w:ascii="Cambria" w:hAnsi="Cambria" w:cstheme="minorHAnsi"/>
                <w:b/>
              </w:rPr>
              <w:t>U</w:t>
            </w:r>
            <w:r w:rsidRPr="00174CC8">
              <w:rPr>
                <w:rFonts w:ascii="Cambria" w:hAnsi="Cambria" w:cstheme="minorHAnsi"/>
                <w:b/>
              </w:rPr>
              <w:t>NVANI</w:t>
            </w:r>
          </w:p>
        </w:tc>
        <w:tc>
          <w:tcPr>
            <w:tcW w:w="6389" w:type="dxa"/>
            <w:shd w:val="clear" w:color="auto" w:fill="auto"/>
            <w:vAlign w:val="bottom"/>
          </w:tcPr>
          <w:p w:rsidR="006D15A6" w:rsidRPr="00174CC8" w:rsidRDefault="008B702F" w:rsidP="00A2761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Taşınır Kontrol Yetkilisi</w:t>
            </w:r>
          </w:p>
        </w:tc>
      </w:tr>
      <w:tr w:rsidR="000A1B08" w:rsidRPr="00174CC8" w:rsidTr="008522FC">
        <w:trPr>
          <w:trHeight w:hRule="exact" w:val="288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ÜST </w:t>
            </w:r>
            <w:r w:rsidR="006D15A6" w:rsidRPr="00174CC8">
              <w:rPr>
                <w:rFonts w:ascii="Cambria" w:hAnsi="Cambria" w:cstheme="minorHAnsi"/>
                <w:b/>
              </w:rPr>
              <w:t>YÖNETİCİ/YÖNETİCİLER</w:t>
            </w:r>
          </w:p>
        </w:tc>
        <w:tc>
          <w:tcPr>
            <w:tcW w:w="6389" w:type="dxa"/>
            <w:vAlign w:val="bottom"/>
          </w:tcPr>
          <w:p w:rsidR="006D15A6" w:rsidRPr="00174CC8" w:rsidRDefault="00E535E6" w:rsidP="00A2761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Müdür 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VEKİLİ</w:t>
            </w:r>
          </w:p>
        </w:tc>
        <w:tc>
          <w:tcPr>
            <w:tcW w:w="6389" w:type="dxa"/>
            <w:vAlign w:val="bottom"/>
          </w:tcPr>
          <w:p w:rsidR="006D15A6" w:rsidRPr="00174CC8" w:rsidRDefault="00D914BF" w:rsidP="008B702F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Merkez Müdürü </w:t>
            </w:r>
            <w:r w:rsidR="00CD2913">
              <w:rPr>
                <w:rFonts w:ascii="Cambria" w:hAnsi="Cambria" w:cstheme="minorHAnsi"/>
              </w:rPr>
              <w:t xml:space="preserve">Tarafından Yetkilendirilmiş </w:t>
            </w:r>
            <w:r w:rsidR="008B702F">
              <w:rPr>
                <w:rFonts w:ascii="Cambria" w:hAnsi="Cambria" w:cstheme="minorHAnsi"/>
              </w:rPr>
              <w:t>Personel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ASTLARI</w:t>
            </w:r>
          </w:p>
        </w:tc>
        <w:tc>
          <w:tcPr>
            <w:tcW w:w="6389" w:type="dxa"/>
            <w:vAlign w:val="bottom"/>
          </w:tcPr>
          <w:p w:rsidR="006D15A6" w:rsidRPr="00174CC8" w:rsidRDefault="006D15A6" w:rsidP="00E535E6">
            <w:pPr>
              <w:rPr>
                <w:rFonts w:ascii="Cambria" w:hAnsi="Cambria" w:cstheme="minorHAnsi"/>
              </w:rPr>
            </w:pPr>
          </w:p>
        </w:tc>
      </w:tr>
      <w:tr w:rsidR="00EF068A" w:rsidRPr="00174CC8" w:rsidTr="006F6146">
        <w:trPr>
          <w:trHeight w:hRule="exact" w:val="5947"/>
        </w:trPr>
        <w:tc>
          <w:tcPr>
            <w:tcW w:w="11209" w:type="dxa"/>
            <w:gridSpan w:val="3"/>
            <w:shd w:val="clear" w:color="auto" w:fill="auto"/>
          </w:tcPr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ve SORUMLULUKLARI </w:t>
            </w:r>
          </w:p>
          <w:p w:rsidR="00D634BA" w:rsidRPr="00174CC8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GÖREV TANIMI</w:t>
            </w:r>
          </w:p>
          <w:p w:rsidR="00BE25A2" w:rsidRDefault="00BE25A2" w:rsidP="00376B25">
            <w:pPr>
              <w:jc w:val="both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tr"/>
              </w:rPr>
              <w:t>Sürekli Eğitim Uygulama ve Araştırma Merkezi Müdürlüğü</w:t>
            </w:r>
            <w:r w:rsidR="00A27617">
              <w:rPr>
                <w:rFonts w:ascii="Cambria" w:hAnsi="Cambria" w:cs="Cambria"/>
                <w:lang w:val="tr"/>
              </w:rPr>
              <w:t xml:space="preserve"> bünyesinde görevli taşınır kayıt yetkilisinin yapmış olduğu kayıt ve işlemler ile düzenlediği belge ve cetvellerin mevzuata ve mali tablolara uygunluğunu kontrol etmek, Harcama Birimi Taşınır Mal Yönetim Hesabı Cetvelini </w:t>
            </w:r>
            <w:proofErr w:type="gramStart"/>
            <w:r w:rsidR="00A27617">
              <w:rPr>
                <w:rFonts w:ascii="Cambria" w:hAnsi="Cambria" w:cs="Cambria"/>
                <w:lang w:val="tr"/>
              </w:rPr>
              <w:t>imzalamak,</w:t>
            </w:r>
            <w:proofErr w:type="gramEnd"/>
            <w:r w:rsidR="00A27617">
              <w:rPr>
                <w:rFonts w:ascii="Cambria" w:hAnsi="Cambria" w:cs="Cambria"/>
                <w:lang w:val="tr"/>
              </w:rPr>
              <w:t xml:space="preserve"> ve tüm bu konularda harcama yetkilisine karşı sorumlu olmak</w:t>
            </w:r>
            <w:r>
              <w:rPr>
                <w:rFonts w:ascii="Cambria" w:hAnsi="Cambria" w:cs="Cambria"/>
                <w:lang w:val="tr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görev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tanımı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kapsamındadır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.  </w:t>
            </w:r>
          </w:p>
          <w:p w:rsidR="00EF068A" w:rsidRPr="00174CC8" w:rsidRDefault="00EF068A" w:rsidP="00376B25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DETAYI (</w:t>
            </w:r>
            <w:r w:rsidR="00E858D1" w:rsidRPr="00174CC8">
              <w:rPr>
                <w:rFonts w:ascii="Cambria" w:hAnsi="Cambria"/>
                <w:b/>
                <w:color w:val="C00000"/>
                <w:u w:val="single"/>
              </w:rPr>
              <w:t>SORUMLULUKLAR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)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</w:t>
            </w:r>
          </w:p>
          <w:p w:rsidR="006353E0" w:rsidRPr="00A27617" w:rsidRDefault="006353E0" w:rsidP="009747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Eğitim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öğretim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ve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araştırma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için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gerekli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A27617">
              <w:rPr>
                <w:rFonts w:asciiTheme="majorHAnsi" w:hAnsiTheme="majorHAnsi" w:cs="Times New Roman"/>
                <w:lang w:val="en-US"/>
              </w:rPr>
              <w:t>olan</w:t>
            </w:r>
            <w:proofErr w:type="spellEnd"/>
            <w:r w:rsidRPr="00A2761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="00A27617" w:rsidRPr="00A27617">
              <w:rPr>
                <w:rFonts w:asciiTheme="majorHAnsi" w:hAnsiTheme="majorHAnsi" w:cs="Times New Roman"/>
                <w:lang w:val="en-US"/>
              </w:rPr>
              <w:t>malzemelerin</w:t>
            </w:r>
            <w:proofErr w:type="spellEnd"/>
            <w:r w:rsidR="00A27617" w:rsidRPr="00A27617">
              <w:rPr>
                <w:rFonts w:asciiTheme="majorHAnsi" w:hAnsiTheme="majorHAnsi" w:cs="Times New Roman"/>
                <w:lang w:val="en-US"/>
              </w:rPr>
              <w:t xml:space="preserve"> (</w:t>
            </w:r>
            <w:r w:rsidR="00A27617" w:rsidRPr="00A27617">
              <w:rPr>
                <w:rFonts w:asciiTheme="majorHAnsi" w:hAnsiTheme="majorHAnsi" w:cs="Times New Roman"/>
                <w:color w:val="000000"/>
              </w:rPr>
              <w:t>eğitim malzemeleri, kırtasiye, donanım ve teknolojik malzemeleri, makine ve teçhizat alım ve bakımları vb.</w:t>
            </w:r>
            <w:r w:rsidR="00A27617" w:rsidRPr="00A27617">
              <w:rPr>
                <w:rFonts w:asciiTheme="majorHAnsi" w:hAnsiTheme="majorHAnsi" w:cs="Times New Roman"/>
                <w:lang w:val="en-US"/>
              </w:rPr>
              <w:t>)</w:t>
            </w:r>
            <w:r w:rsidR="00A27617" w:rsidRPr="00A27617">
              <w:rPr>
                <w:rFonts w:asciiTheme="majorHAnsi" w:hAnsiTheme="majorHAnsi" w:cs="Cambria"/>
                <w:lang w:val="en-US"/>
              </w:rPr>
              <w:t xml:space="preserve"> </w:t>
            </w:r>
            <w:proofErr w:type="spellStart"/>
            <w:r w:rsidR="00A27617" w:rsidRPr="00A27617">
              <w:rPr>
                <w:rFonts w:asciiTheme="majorHAnsi" w:hAnsiTheme="majorHAnsi" w:cs="Cambria"/>
                <w:lang w:val="en-US"/>
              </w:rPr>
              <w:t>kayıt</w:t>
            </w:r>
            <w:proofErr w:type="spellEnd"/>
            <w:r w:rsidR="00A27617" w:rsidRPr="00A27617">
              <w:rPr>
                <w:rFonts w:asciiTheme="majorHAnsi" w:hAnsiTheme="majorHAnsi" w:cs="Cambria"/>
                <w:lang w:val="en-US"/>
              </w:rPr>
              <w:t xml:space="preserve"> </w:t>
            </w:r>
            <w:proofErr w:type="spellStart"/>
            <w:r w:rsidR="00A27617" w:rsidRPr="00A27617">
              <w:rPr>
                <w:rFonts w:asciiTheme="majorHAnsi" w:hAnsiTheme="majorHAnsi" w:cs="Cambria"/>
                <w:lang w:val="en-US"/>
              </w:rPr>
              <w:t>işlemlerini</w:t>
            </w:r>
            <w:proofErr w:type="spellEnd"/>
            <w:r w:rsidR="00A27617" w:rsidRPr="00A27617">
              <w:rPr>
                <w:rFonts w:asciiTheme="majorHAnsi" w:hAnsiTheme="majorHAnsi" w:cs="Cambria"/>
                <w:lang w:val="en-US"/>
              </w:rPr>
              <w:t xml:space="preserve"> </w:t>
            </w:r>
            <w:proofErr w:type="spellStart"/>
            <w:r w:rsidR="00A27617" w:rsidRPr="00A27617">
              <w:rPr>
                <w:rFonts w:asciiTheme="majorHAnsi" w:hAnsiTheme="majorHAnsi" w:cs="Cambria"/>
                <w:lang w:val="en-US"/>
              </w:rPr>
              <w:t>takip</w:t>
            </w:r>
            <w:proofErr w:type="spellEnd"/>
            <w:r w:rsidR="00A27617" w:rsidRPr="00A27617">
              <w:rPr>
                <w:rFonts w:asciiTheme="majorHAnsi" w:hAnsiTheme="majorHAnsi" w:cs="Cambria"/>
                <w:lang w:val="en-US"/>
              </w:rPr>
              <w:t xml:space="preserve"> </w:t>
            </w:r>
            <w:proofErr w:type="spellStart"/>
            <w:r w:rsidR="00A27617" w:rsidRPr="00A27617">
              <w:rPr>
                <w:rFonts w:asciiTheme="majorHAnsi" w:hAnsiTheme="majorHAnsi" w:cs="Cambria"/>
                <w:lang w:val="en-US"/>
              </w:rPr>
              <w:t>etmek</w:t>
            </w:r>
            <w:proofErr w:type="spellEnd"/>
            <w:r w:rsidR="00A27617" w:rsidRPr="00A27617">
              <w:rPr>
                <w:rFonts w:asciiTheme="majorHAnsi" w:hAnsiTheme="majorHAnsi" w:cs="Cambria"/>
                <w:lang w:val="en-US"/>
              </w:rPr>
              <w:t>,</w:t>
            </w:r>
          </w:p>
          <w:p w:rsidR="006353E0" w:rsidRPr="006353E0" w:rsidRDefault="006353E0" w:rsidP="009747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6353E0">
              <w:rPr>
                <w:rFonts w:ascii="Cambria" w:hAnsi="Cambria" w:cs="Cambria"/>
                <w:lang w:val="en-US"/>
              </w:rPr>
              <w:t>Taşınır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Kontrol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Yetkilisi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olarak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ilgil</w:t>
            </w:r>
            <w:r w:rsidR="00011D3E">
              <w:rPr>
                <w:rFonts w:ascii="Cambria" w:hAnsi="Cambria" w:cs="Cambria"/>
                <w:lang w:val="en-US"/>
              </w:rPr>
              <w:t>i</w:t>
            </w:r>
            <w:proofErr w:type="spellEnd"/>
            <w:r w:rsidR="00011D3E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011D3E">
              <w:rPr>
                <w:rFonts w:ascii="Cambria" w:hAnsi="Cambria" w:cs="Cambria"/>
                <w:lang w:val="en-US"/>
              </w:rPr>
              <w:t>görevlerin</w:t>
            </w:r>
            <w:proofErr w:type="spellEnd"/>
            <w:r w:rsidR="00011D3E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011D3E">
              <w:rPr>
                <w:rFonts w:ascii="Cambria" w:hAnsi="Cambria" w:cs="Cambria"/>
                <w:lang w:val="en-US"/>
              </w:rPr>
              <w:t>yerine</w:t>
            </w:r>
            <w:proofErr w:type="spellEnd"/>
            <w:r w:rsidR="00011D3E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011D3E">
              <w:rPr>
                <w:rFonts w:ascii="Cambria" w:hAnsi="Cambria" w:cs="Cambria"/>
                <w:lang w:val="en-US"/>
              </w:rPr>
              <w:t>getirilmesi</w:t>
            </w:r>
            <w:proofErr w:type="spellEnd"/>
            <w:r w:rsidR="00011D3E">
              <w:rPr>
                <w:rFonts w:ascii="Cambria" w:hAnsi="Cambria" w:cs="Cambria"/>
                <w:lang w:val="en-US"/>
              </w:rPr>
              <w:t>,</w:t>
            </w:r>
            <w:r w:rsidR="009747A0">
              <w:rPr>
                <w:rFonts w:ascii="Cambria" w:hAnsi="Cambria" w:cs="Cambria"/>
                <w:lang w:val="en-US"/>
              </w:rPr>
              <w:t xml:space="preserve"> (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Taşınır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İşlem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Fişi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zimmet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fişi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sayım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tutanağı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vb.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Evrakların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düzenlenmesi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,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kayıt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altına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alınması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arşivlenmesi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aşamalarını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etmek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yapılmasını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sağlamak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) </w:t>
            </w:r>
          </w:p>
          <w:p w:rsidR="006353E0" w:rsidRPr="006353E0" w:rsidRDefault="009747A0" w:rsidP="009747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Tüketim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ve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demirbaş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malzemelerin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alım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evraklarında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maddi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hatanın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bulunmamasını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sağlamak</w:t>
            </w:r>
            <w:proofErr w:type="spellEnd"/>
            <w:r>
              <w:rPr>
                <w:rFonts w:ascii="Cambria" w:hAnsi="Cambria" w:cs="Cambria"/>
                <w:lang w:val="en-US"/>
              </w:rPr>
              <w:t>,</w:t>
            </w:r>
          </w:p>
          <w:p w:rsidR="006353E0" w:rsidRPr="006353E0" w:rsidRDefault="006353E0" w:rsidP="009747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6353E0">
              <w:rPr>
                <w:rFonts w:ascii="Cambria" w:hAnsi="Cambria" w:cs="Cambria"/>
                <w:lang w:val="en-US"/>
              </w:rPr>
              <w:t>Çalışmalarında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gizlilik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doğruluk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çabukluk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güvenirlilik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ilkelerinden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6353E0">
              <w:rPr>
                <w:rFonts w:ascii="Cambria" w:hAnsi="Cambria" w:cs="Cambria"/>
                <w:lang w:val="en-US"/>
              </w:rPr>
              <w:t>ayrılmamak</w:t>
            </w:r>
            <w:proofErr w:type="spellEnd"/>
            <w:r w:rsidRPr="006353E0">
              <w:rPr>
                <w:rFonts w:ascii="Cambria" w:hAnsi="Cambria" w:cs="Cambria"/>
                <w:lang w:val="en-US"/>
              </w:rPr>
              <w:t xml:space="preserve">, </w:t>
            </w:r>
          </w:p>
          <w:p w:rsidR="009747A0" w:rsidRPr="009747A0" w:rsidRDefault="006353E0" w:rsidP="009747A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proofErr w:type="spellStart"/>
            <w:r w:rsidRPr="009747A0">
              <w:rPr>
                <w:rFonts w:ascii="Cambria" w:hAnsi="Cambria" w:cs="Cambria"/>
                <w:lang w:val="en-US"/>
              </w:rPr>
              <w:t>Yasa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ve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yönetmelikleri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takip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ederek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sürekli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bilgilerini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yenilemek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üst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makamlara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hatalı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eksik</w:t>
            </w:r>
            <w:proofErr w:type="spellEnd"/>
            <w:r w:rsidRPr="009747A0">
              <w:rPr>
                <w:rFonts w:ascii="Cambria" w:hAnsi="Cambria" w:cs="Cambria"/>
                <w:lang w:val="en-US"/>
              </w:rPr>
              <w:t xml:space="preserve">, </w:t>
            </w:r>
            <w:proofErr w:type="spellStart"/>
            <w:r w:rsidRPr="009747A0">
              <w:rPr>
                <w:rFonts w:ascii="Cambria" w:hAnsi="Cambria" w:cs="Cambria"/>
                <w:lang w:val="en-US"/>
              </w:rPr>
              <w:t>işlemle</w:t>
            </w:r>
            <w:r w:rsidR="009747A0">
              <w:rPr>
                <w:rFonts w:ascii="Cambria" w:hAnsi="Cambria" w:cs="Cambria"/>
                <w:lang w:val="en-US"/>
              </w:rPr>
              <w:t>ri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onaylatmaktan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 w:rsidR="009747A0">
              <w:rPr>
                <w:rFonts w:ascii="Cambria" w:hAnsi="Cambria" w:cs="Cambria"/>
                <w:lang w:val="en-US"/>
              </w:rPr>
              <w:t>kaçınmak</w:t>
            </w:r>
            <w:proofErr w:type="spellEnd"/>
            <w:r w:rsidR="009747A0">
              <w:rPr>
                <w:rFonts w:ascii="Cambria" w:hAnsi="Cambria" w:cs="Cambria"/>
                <w:lang w:val="en-US"/>
              </w:rPr>
              <w:t>.</w:t>
            </w:r>
          </w:p>
          <w:p w:rsidR="006D2E0C" w:rsidRPr="006D2E0C" w:rsidRDefault="006D2E0C" w:rsidP="006353E0">
            <w:pPr>
              <w:pStyle w:val="ListeParagraf"/>
              <w:jc w:val="both"/>
              <w:rPr>
                <w:rFonts w:ascii="Cambria" w:hAnsi="Cambria"/>
              </w:rPr>
            </w:pPr>
          </w:p>
        </w:tc>
      </w:tr>
      <w:tr w:rsidR="004C6FB7" w:rsidRPr="00174CC8" w:rsidTr="00011D3E">
        <w:trPr>
          <w:trHeight w:hRule="exact" w:val="1717"/>
        </w:trPr>
        <w:tc>
          <w:tcPr>
            <w:tcW w:w="11209" w:type="dxa"/>
            <w:gridSpan w:val="3"/>
          </w:tcPr>
          <w:p w:rsidR="004C6FB7" w:rsidRPr="00174CC8" w:rsidRDefault="004C6FB7" w:rsidP="008A6B0E">
            <w:pPr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YETKİLERİ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 </w:t>
            </w:r>
          </w:p>
          <w:p w:rsidR="00011D3E" w:rsidRPr="00011D3E" w:rsidRDefault="00011D3E" w:rsidP="008A6B0E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Taşınır Kontrol Yetkilisi olarak görev yapmak</w:t>
            </w:r>
          </w:p>
          <w:p w:rsidR="004C6FB7" w:rsidRPr="00174CC8" w:rsidRDefault="001A1E82" w:rsidP="008A6B0E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 xml:space="preserve">Yazıları </w:t>
            </w:r>
            <w:r w:rsidR="00137892">
              <w:rPr>
                <w:rFonts w:ascii="Cambria" w:hAnsi="Cambria"/>
              </w:rPr>
              <w:t>imzalamak</w:t>
            </w:r>
          </w:p>
          <w:p w:rsidR="004C6FB7" w:rsidRPr="001A1E82" w:rsidRDefault="00BF2EA7" w:rsidP="001A1E8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İlgililerden (</w:t>
            </w:r>
            <w:r w:rsidR="001A1E82">
              <w:rPr>
                <w:rFonts w:ascii="Cambria" w:hAnsi="Cambria"/>
              </w:rPr>
              <w:t>Akademik ve İdari Personel)</w:t>
            </w:r>
            <w:r>
              <w:rPr>
                <w:rFonts w:ascii="Cambria" w:hAnsi="Cambria"/>
              </w:rPr>
              <w:t xml:space="preserve"> </w:t>
            </w:r>
            <w:r w:rsidR="001A1E82">
              <w:rPr>
                <w:rFonts w:ascii="Cambria" w:hAnsi="Cambria"/>
              </w:rPr>
              <w:t>gerekli belgeleri talep etmek</w:t>
            </w:r>
          </w:p>
          <w:p w:rsidR="001A1E82" w:rsidRPr="001A1E82" w:rsidRDefault="001A1E82" w:rsidP="001A1E82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Merkez ile ilgili yazıları teslim alma ve tutanakları imzalamak</w:t>
            </w:r>
          </w:p>
          <w:p w:rsidR="001A1E82" w:rsidRPr="001A1E82" w:rsidRDefault="001A1E82" w:rsidP="00F54F51">
            <w:pPr>
              <w:pStyle w:val="ListeParagraf"/>
              <w:rPr>
                <w:rFonts w:ascii="Cambria" w:hAnsi="Cambria"/>
                <w:b/>
                <w:u w:val="single"/>
              </w:rPr>
            </w:pPr>
          </w:p>
        </w:tc>
      </w:tr>
      <w:tr w:rsidR="004C6FB7" w:rsidRPr="00174CC8" w:rsidTr="004069DF">
        <w:trPr>
          <w:trHeight w:hRule="exact" w:val="1454"/>
        </w:trPr>
        <w:tc>
          <w:tcPr>
            <w:tcW w:w="11209" w:type="dxa"/>
            <w:gridSpan w:val="3"/>
          </w:tcPr>
          <w:p w:rsidR="00D634BA" w:rsidRPr="00174CC8" w:rsidRDefault="00B02FA4" w:rsidP="00D63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C00000"/>
                <w:u w:val="single"/>
              </w:rPr>
              <w:t xml:space="preserve">İLETİŞİM 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>İÇERİSİNDE OLUNAN MAKAMLAR/BİRİMLER</w:t>
            </w:r>
          </w:p>
          <w:p w:rsidR="004C6FB7" w:rsidRPr="00174CC8" w:rsidRDefault="004C6FB7" w:rsidP="00D634BA">
            <w:pPr>
              <w:jc w:val="both"/>
              <w:rPr>
                <w:rFonts w:ascii="Cambria" w:hAnsi="Cambria"/>
              </w:rPr>
            </w:pPr>
            <w:r w:rsidRPr="00174CC8">
              <w:rPr>
                <w:rFonts w:ascii="Cambria" w:hAnsi="Cambria"/>
              </w:rPr>
              <w:t xml:space="preserve">Rektör, Rektör Yardımcıları, Genel Sekreter, Rektörlük Birimleri, </w:t>
            </w:r>
            <w:r w:rsidR="00137892">
              <w:rPr>
                <w:rFonts w:ascii="Cambria" w:hAnsi="Cambria"/>
              </w:rPr>
              <w:t xml:space="preserve">Müdür, </w:t>
            </w:r>
            <w:r w:rsidRPr="00174CC8">
              <w:rPr>
                <w:rFonts w:ascii="Cambria" w:hAnsi="Cambria"/>
              </w:rPr>
              <w:t>İhtiyaç duyulan</w:t>
            </w:r>
            <w:r w:rsidR="001F4A42" w:rsidRPr="00174CC8">
              <w:rPr>
                <w:rFonts w:ascii="Cambria" w:hAnsi="Cambria"/>
              </w:rPr>
              <w:t xml:space="preserve"> tüm</w:t>
            </w:r>
            <w:r w:rsidRPr="00174CC8">
              <w:rPr>
                <w:rFonts w:ascii="Cambria" w:hAnsi="Cambria"/>
              </w:rPr>
              <w:t xml:space="preserve"> Fakülte ve birimler</w:t>
            </w:r>
            <w:r w:rsidR="001F4A42" w:rsidRPr="00174CC8">
              <w:rPr>
                <w:rFonts w:ascii="Cambria" w:hAnsi="Cambria"/>
              </w:rPr>
              <w:t xml:space="preserve">, Üniversitemiz </w:t>
            </w:r>
            <w:r w:rsidR="000B7E3F">
              <w:rPr>
                <w:rFonts w:ascii="Cambria" w:hAnsi="Cambria"/>
              </w:rPr>
              <w:t>Akademik Personeli, eğitim talebinde bulunan ve eğitim programı çalışması yapılabilecek resmi kurum ve kuruluşları ile özel sektör kuruluşları.</w:t>
            </w:r>
          </w:p>
        </w:tc>
      </w:tr>
      <w:tr w:rsidR="004C6FB7" w:rsidRPr="00174CC8" w:rsidTr="008A6B0E">
        <w:trPr>
          <w:trHeight w:hRule="exact" w:val="907"/>
        </w:trPr>
        <w:tc>
          <w:tcPr>
            <w:tcW w:w="11209" w:type="dxa"/>
            <w:gridSpan w:val="3"/>
          </w:tcPr>
          <w:p w:rsidR="004C6FB7" w:rsidRPr="00174CC8" w:rsidRDefault="001F4A42" w:rsidP="008A6B0E">
            <w:pPr>
              <w:rPr>
                <w:rFonts w:ascii="Cambria" w:hAnsi="Cambria"/>
                <w:b/>
                <w:color w:val="C00000"/>
                <w:sz w:val="2"/>
                <w:szCs w:val="2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ÇALIŞMA SAATLERİ</w:t>
            </w:r>
            <w:r w:rsidR="008A6B0E" w:rsidRPr="00174CC8">
              <w:rPr>
                <w:rFonts w:ascii="Cambria" w:hAnsi="Cambria"/>
                <w:b/>
                <w:color w:val="C00000"/>
                <w:u w:val="single"/>
              </w:rPr>
              <w:br/>
            </w:r>
            <w:r w:rsidRPr="00174CC8">
              <w:rPr>
                <w:rFonts w:ascii="Cambria" w:hAnsi="Cambria"/>
                <w:b/>
                <w:u w:val="single"/>
              </w:rPr>
              <w:br/>
            </w:r>
            <w:proofErr w:type="gramStart"/>
            <w:r w:rsidRPr="00174CC8">
              <w:rPr>
                <w:rFonts w:ascii="Cambria" w:hAnsi="Cambria"/>
              </w:rPr>
              <w:t>08:00</w:t>
            </w:r>
            <w:proofErr w:type="gramEnd"/>
            <w:r w:rsidRPr="00174CC8">
              <w:rPr>
                <w:rFonts w:ascii="Cambria" w:hAnsi="Cambria"/>
              </w:rPr>
              <w:t>-12:00, 13:00-17:00 saatleri arası ve amirin gerekli gördüğü diğer zamanlar</w:t>
            </w:r>
          </w:p>
        </w:tc>
      </w:tr>
      <w:tr w:rsidR="00032BCB" w:rsidRPr="00174CC8" w:rsidTr="00011D3E">
        <w:trPr>
          <w:trHeight w:val="978"/>
        </w:trPr>
        <w:tc>
          <w:tcPr>
            <w:tcW w:w="4820" w:type="dxa"/>
            <w:gridSpan w:val="2"/>
            <w:shd w:val="clear" w:color="auto" w:fill="0099CC"/>
            <w:vAlign w:val="center"/>
          </w:tcPr>
          <w:p w:rsidR="00032BCB" w:rsidRPr="00174CC8" w:rsidRDefault="00032BCB" w:rsidP="005D780A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>ONAYLAYAN</w:t>
            </w:r>
          </w:p>
        </w:tc>
        <w:tc>
          <w:tcPr>
            <w:tcW w:w="6389" w:type="dxa"/>
            <w:shd w:val="clear" w:color="auto" w:fill="0099CC"/>
            <w:vAlign w:val="center"/>
          </w:tcPr>
          <w:p w:rsidR="00032BCB" w:rsidRPr="00174CC8" w:rsidRDefault="00032BCB" w:rsidP="00D24923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 xml:space="preserve">PROF.DR. </w:t>
            </w:r>
            <w:r w:rsidR="00D24923">
              <w:rPr>
                <w:rFonts w:ascii="Cambria" w:hAnsi="Cambria"/>
                <w:b/>
              </w:rPr>
              <w:t>HASAN AYYILDIZ</w:t>
            </w:r>
            <w:r w:rsidR="00174CC8" w:rsidRPr="00174CC8">
              <w:rPr>
                <w:rFonts w:ascii="Cambria" w:hAnsi="Cambria"/>
                <w:b/>
              </w:rPr>
              <w:br/>
              <w:t>Sürekli Eğitim Uygulama ve Araştırma Merkezi Müdürü</w:t>
            </w:r>
          </w:p>
        </w:tc>
      </w:tr>
    </w:tbl>
    <w:p w:rsidR="00BC0059" w:rsidRPr="008522FC" w:rsidRDefault="00BC0059" w:rsidP="00E535E6">
      <w:pPr>
        <w:pStyle w:val="AralkYok"/>
      </w:pPr>
    </w:p>
    <w:sectPr w:rsidR="00BC0059" w:rsidRPr="008522FC" w:rsidSect="00174CC8">
      <w:pgSz w:w="11906" w:h="16838" w:code="9"/>
      <w:pgMar w:top="232" w:right="680" w:bottom="232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0E" w:rsidRDefault="00B3690E" w:rsidP="00800A69">
      <w:pPr>
        <w:spacing w:after="0" w:line="240" w:lineRule="auto"/>
      </w:pPr>
      <w:r>
        <w:separator/>
      </w:r>
    </w:p>
  </w:endnote>
  <w:endnote w:type="continuationSeparator" w:id="0">
    <w:p w:rsidR="00B3690E" w:rsidRDefault="00B3690E" w:rsidP="008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0E" w:rsidRDefault="00B3690E" w:rsidP="00800A69">
      <w:pPr>
        <w:spacing w:after="0" w:line="240" w:lineRule="auto"/>
      </w:pPr>
      <w:r>
        <w:separator/>
      </w:r>
    </w:p>
  </w:footnote>
  <w:footnote w:type="continuationSeparator" w:id="0">
    <w:p w:rsidR="00B3690E" w:rsidRDefault="00B3690E" w:rsidP="0080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A3"/>
    <w:multiLevelType w:val="hybridMultilevel"/>
    <w:tmpl w:val="A5567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AE6"/>
    <w:multiLevelType w:val="multilevel"/>
    <w:tmpl w:val="1D24518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54563358"/>
    <w:multiLevelType w:val="hybridMultilevel"/>
    <w:tmpl w:val="4F306176"/>
    <w:lvl w:ilvl="0" w:tplc="76B6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564A"/>
    <w:multiLevelType w:val="hybridMultilevel"/>
    <w:tmpl w:val="59A8D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9"/>
    <w:rsid w:val="00011D3E"/>
    <w:rsid w:val="00032BCB"/>
    <w:rsid w:val="00056D19"/>
    <w:rsid w:val="000A1B08"/>
    <w:rsid w:val="000B7E3F"/>
    <w:rsid w:val="000C0C1C"/>
    <w:rsid w:val="00137892"/>
    <w:rsid w:val="00174CC8"/>
    <w:rsid w:val="001A1E82"/>
    <w:rsid w:val="001D5F61"/>
    <w:rsid w:val="001F4A42"/>
    <w:rsid w:val="00217ADA"/>
    <w:rsid w:val="00261B09"/>
    <w:rsid w:val="0029793A"/>
    <w:rsid w:val="00376B25"/>
    <w:rsid w:val="004069DF"/>
    <w:rsid w:val="00421D54"/>
    <w:rsid w:val="00487EDC"/>
    <w:rsid w:val="004A7B7C"/>
    <w:rsid w:val="004B03EF"/>
    <w:rsid w:val="004C6FB7"/>
    <w:rsid w:val="004D7AEF"/>
    <w:rsid w:val="004E5A3F"/>
    <w:rsid w:val="004E5FA0"/>
    <w:rsid w:val="0051032B"/>
    <w:rsid w:val="005D780A"/>
    <w:rsid w:val="005E041C"/>
    <w:rsid w:val="00617723"/>
    <w:rsid w:val="00620CBF"/>
    <w:rsid w:val="00631FDB"/>
    <w:rsid w:val="006353E0"/>
    <w:rsid w:val="00686A05"/>
    <w:rsid w:val="006D15A6"/>
    <w:rsid w:val="006D2E0C"/>
    <w:rsid w:val="006F6146"/>
    <w:rsid w:val="007052BD"/>
    <w:rsid w:val="00800A69"/>
    <w:rsid w:val="0082185C"/>
    <w:rsid w:val="008522FC"/>
    <w:rsid w:val="008943F6"/>
    <w:rsid w:val="008A0A93"/>
    <w:rsid w:val="008A6B0E"/>
    <w:rsid w:val="008B702F"/>
    <w:rsid w:val="0093017D"/>
    <w:rsid w:val="009747A0"/>
    <w:rsid w:val="00A27617"/>
    <w:rsid w:val="00AA6809"/>
    <w:rsid w:val="00AB7C75"/>
    <w:rsid w:val="00B02FA4"/>
    <w:rsid w:val="00B3690E"/>
    <w:rsid w:val="00B74453"/>
    <w:rsid w:val="00BC0059"/>
    <w:rsid w:val="00BE25A2"/>
    <w:rsid w:val="00BF2EA7"/>
    <w:rsid w:val="00CC62BB"/>
    <w:rsid w:val="00CD2913"/>
    <w:rsid w:val="00CF4E43"/>
    <w:rsid w:val="00D23A44"/>
    <w:rsid w:val="00D24923"/>
    <w:rsid w:val="00D634BA"/>
    <w:rsid w:val="00D914BF"/>
    <w:rsid w:val="00E535E6"/>
    <w:rsid w:val="00E858D1"/>
    <w:rsid w:val="00EE2DA4"/>
    <w:rsid w:val="00EF068A"/>
    <w:rsid w:val="00F10E54"/>
    <w:rsid w:val="00F54F51"/>
    <w:rsid w:val="00F75A9B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16AF-99DC-4273-BA4B-C371ACB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2016-11-30T11:01:00Z</cp:lastPrinted>
  <dcterms:created xsi:type="dcterms:W3CDTF">2016-11-30T13:10:00Z</dcterms:created>
  <dcterms:modified xsi:type="dcterms:W3CDTF">2018-03-30T12:10:00Z</dcterms:modified>
</cp:coreProperties>
</file>